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7E6E" w14:textId="77777777" w:rsidR="00E26F01" w:rsidRPr="00384075" w:rsidRDefault="00E26F01" w:rsidP="0050365C">
      <w:pPr>
        <w:jc w:val="center"/>
        <w:rPr>
          <w:b/>
          <w:snapToGrid w:val="0"/>
          <w:sz w:val="24"/>
          <w:szCs w:val="24"/>
          <w:lang w:eastAsia="en-US"/>
        </w:rPr>
      </w:pPr>
    </w:p>
    <w:p w14:paraId="71D4253D" w14:textId="77777777" w:rsidR="00802EA8" w:rsidRPr="00384075" w:rsidRDefault="00802EA8" w:rsidP="0050365C">
      <w:pPr>
        <w:rPr>
          <w:b/>
          <w:snapToGrid w:val="0"/>
          <w:sz w:val="24"/>
          <w:szCs w:val="24"/>
          <w:lang w:eastAsia="en-US"/>
        </w:rPr>
      </w:pPr>
    </w:p>
    <w:p w14:paraId="72A588D9" w14:textId="77777777" w:rsidR="0050365C" w:rsidRPr="00384075" w:rsidRDefault="0050365C" w:rsidP="0050365C">
      <w:pPr>
        <w:jc w:val="center"/>
        <w:rPr>
          <w:b/>
          <w:snapToGrid w:val="0"/>
          <w:sz w:val="24"/>
          <w:szCs w:val="24"/>
          <w:lang w:eastAsia="en-US"/>
        </w:rPr>
      </w:pPr>
    </w:p>
    <w:p w14:paraId="537FD80E" w14:textId="77777777" w:rsidR="00B70B27" w:rsidRPr="00384075" w:rsidRDefault="00F848C1" w:rsidP="0050365C">
      <w:pPr>
        <w:jc w:val="center"/>
        <w:rPr>
          <w:b/>
          <w:snapToGrid w:val="0"/>
          <w:sz w:val="24"/>
          <w:szCs w:val="24"/>
          <w:lang w:eastAsia="en-US"/>
        </w:rPr>
      </w:pPr>
      <w:r w:rsidRPr="00384075">
        <w:rPr>
          <w:b/>
          <w:snapToGrid w:val="0"/>
          <w:sz w:val="24"/>
          <w:szCs w:val="24"/>
          <w:lang w:eastAsia="en-US"/>
        </w:rPr>
        <w:t>NOTA DE FUNDAMENTARE</w:t>
      </w:r>
    </w:p>
    <w:p w14:paraId="6A90683A" w14:textId="77777777" w:rsidR="0050365C" w:rsidRPr="00384075" w:rsidRDefault="0050365C" w:rsidP="0050365C">
      <w:pPr>
        <w:jc w:val="center"/>
        <w:rPr>
          <w:b/>
          <w:snapToGrid w:val="0"/>
          <w:sz w:val="24"/>
          <w:szCs w:val="24"/>
          <w:lang w:eastAsia="en-US"/>
        </w:rPr>
      </w:pPr>
    </w:p>
    <w:p w14:paraId="40FB5C6D" w14:textId="77777777" w:rsidR="0050365C" w:rsidRPr="00384075" w:rsidRDefault="0050365C" w:rsidP="0050365C">
      <w:pPr>
        <w:jc w:val="center"/>
        <w:rPr>
          <w:b/>
          <w:snapToGrid w:val="0"/>
          <w:sz w:val="24"/>
          <w:szCs w:val="24"/>
          <w:lang w:eastAsia="en-US"/>
        </w:rPr>
      </w:pPr>
    </w:p>
    <w:p w14:paraId="061595E5" w14:textId="77777777" w:rsidR="00BF3862" w:rsidRPr="00384075" w:rsidRDefault="00BF3862" w:rsidP="0050365C">
      <w:pPr>
        <w:jc w:val="both"/>
        <w:rPr>
          <w:sz w:val="24"/>
          <w:szCs w:val="24"/>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888"/>
        <w:gridCol w:w="859"/>
        <w:gridCol w:w="971"/>
        <w:gridCol w:w="859"/>
        <w:gridCol w:w="799"/>
        <w:gridCol w:w="1044"/>
      </w:tblGrid>
      <w:tr w:rsidR="00384075" w:rsidRPr="00384075" w14:paraId="4F3C9F42" w14:textId="77777777" w:rsidTr="00D66EA6">
        <w:trPr>
          <w:trHeight w:val="1542"/>
          <w:jc w:val="center"/>
        </w:trPr>
        <w:tc>
          <w:tcPr>
            <w:tcW w:w="10335" w:type="dxa"/>
            <w:gridSpan w:val="7"/>
          </w:tcPr>
          <w:p w14:paraId="052432EF" w14:textId="77777777" w:rsidR="00E26F01" w:rsidRPr="00384075" w:rsidRDefault="00E26F01" w:rsidP="0050365C">
            <w:pPr>
              <w:keepNext/>
              <w:tabs>
                <w:tab w:val="left" w:pos="0"/>
              </w:tabs>
              <w:jc w:val="center"/>
              <w:outlineLvl w:val="8"/>
              <w:rPr>
                <w:b/>
                <w:sz w:val="24"/>
                <w:szCs w:val="24"/>
                <w:lang w:eastAsia="en-US"/>
              </w:rPr>
            </w:pPr>
          </w:p>
          <w:p w14:paraId="58C2ABE7" w14:textId="77777777" w:rsidR="00BF3862" w:rsidRPr="00384075" w:rsidRDefault="00BF3862" w:rsidP="0050365C">
            <w:pPr>
              <w:keepNext/>
              <w:tabs>
                <w:tab w:val="left" w:pos="0"/>
              </w:tabs>
              <w:jc w:val="center"/>
              <w:outlineLvl w:val="8"/>
              <w:rPr>
                <w:b/>
                <w:sz w:val="24"/>
                <w:szCs w:val="24"/>
                <w:lang w:eastAsia="en-US"/>
              </w:rPr>
            </w:pPr>
            <w:r w:rsidRPr="00384075">
              <w:rPr>
                <w:b/>
                <w:sz w:val="24"/>
                <w:szCs w:val="24"/>
                <w:lang w:eastAsia="en-US"/>
              </w:rPr>
              <w:t>Sec</w:t>
            </w:r>
            <w:r w:rsidR="00EB750B" w:rsidRPr="00384075">
              <w:rPr>
                <w:b/>
                <w:sz w:val="24"/>
                <w:szCs w:val="24"/>
                <w:lang w:eastAsia="en-US"/>
              </w:rPr>
              <w:t>ț</w:t>
            </w:r>
            <w:r w:rsidRPr="00384075">
              <w:rPr>
                <w:b/>
                <w:sz w:val="24"/>
                <w:szCs w:val="24"/>
                <w:lang w:eastAsia="en-US"/>
              </w:rPr>
              <w:t xml:space="preserve">iunea 1 </w:t>
            </w:r>
          </w:p>
          <w:p w14:paraId="3F4995C9" w14:textId="77777777" w:rsidR="00BF3862" w:rsidRPr="00384075" w:rsidRDefault="00BF3862" w:rsidP="0050365C">
            <w:pPr>
              <w:keepNext/>
              <w:tabs>
                <w:tab w:val="left" w:pos="0"/>
              </w:tabs>
              <w:jc w:val="center"/>
              <w:outlineLvl w:val="8"/>
              <w:rPr>
                <w:b/>
                <w:sz w:val="24"/>
                <w:szCs w:val="24"/>
                <w:lang w:eastAsia="en-US"/>
              </w:rPr>
            </w:pPr>
            <w:r w:rsidRPr="00384075">
              <w:rPr>
                <w:b/>
                <w:sz w:val="24"/>
                <w:szCs w:val="24"/>
                <w:lang w:eastAsia="en-US"/>
              </w:rPr>
              <w:t>Titlul actului normativ</w:t>
            </w:r>
          </w:p>
          <w:p w14:paraId="050403D5" w14:textId="77777777" w:rsidR="00BF3862" w:rsidRPr="00384075" w:rsidRDefault="00BF3862" w:rsidP="0050365C">
            <w:pPr>
              <w:keepNext/>
              <w:tabs>
                <w:tab w:val="left" w:pos="0"/>
              </w:tabs>
              <w:jc w:val="center"/>
              <w:outlineLvl w:val="8"/>
              <w:rPr>
                <w:b/>
                <w:sz w:val="24"/>
                <w:szCs w:val="24"/>
                <w:lang w:eastAsia="en-US"/>
              </w:rPr>
            </w:pPr>
          </w:p>
          <w:p w14:paraId="0613C49F" w14:textId="77777777" w:rsidR="008B5C83" w:rsidRPr="00384075" w:rsidRDefault="00AD64D9" w:rsidP="0050365C">
            <w:pPr>
              <w:spacing w:before="120"/>
              <w:jc w:val="center"/>
              <w:rPr>
                <w:b/>
                <w:bCs/>
                <w:sz w:val="24"/>
                <w:szCs w:val="24"/>
              </w:rPr>
            </w:pPr>
            <w:bookmarkStart w:id="0" w:name="_Hlk212467614"/>
            <w:r w:rsidRPr="00384075">
              <w:rPr>
                <w:b/>
                <w:bCs/>
                <w:sz w:val="24"/>
                <w:szCs w:val="24"/>
              </w:rPr>
              <w:t>Ordonanță de urgență</w:t>
            </w:r>
          </w:p>
          <w:p w14:paraId="3F6AAAC1" w14:textId="77777777" w:rsidR="00685003" w:rsidRPr="00384075" w:rsidRDefault="00AD7ABC" w:rsidP="0050365C">
            <w:pPr>
              <w:jc w:val="center"/>
              <w:rPr>
                <w:b/>
                <w:sz w:val="24"/>
                <w:szCs w:val="24"/>
                <w:lang w:val="fr-FR" w:eastAsia="en-US"/>
              </w:rPr>
            </w:pPr>
            <w:proofErr w:type="spellStart"/>
            <w:proofErr w:type="gramStart"/>
            <w:r w:rsidRPr="00384075">
              <w:rPr>
                <w:b/>
                <w:sz w:val="24"/>
                <w:szCs w:val="24"/>
                <w:lang w:val="fr-FR" w:eastAsia="en-US"/>
              </w:rPr>
              <w:t>privind</w:t>
            </w:r>
            <w:proofErr w:type="spellEnd"/>
            <w:proofErr w:type="gramEnd"/>
            <w:r w:rsidRPr="00384075">
              <w:rPr>
                <w:b/>
                <w:sz w:val="24"/>
                <w:szCs w:val="24"/>
                <w:lang w:val="fr-FR" w:eastAsia="en-US"/>
              </w:rPr>
              <w:t xml:space="preserve"> </w:t>
            </w:r>
            <w:proofErr w:type="spellStart"/>
            <w:r w:rsidRPr="00384075">
              <w:rPr>
                <w:b/>
                <w:sz w:val="24"/>
                <w:szCs w:val="24"/>
                <w:lang w:val="fr-FR" w:eastAsia="en-US"/>
              </w:rPr>
              <w:t>contractele</w:t>
            </w:r>
            <w:proofErr w:type="spellEnd"/>
            <w:r w:rsidRPr="00384075">
              <w:rPr>
                <w:b/>
                <w:sz w:val="24"/>
                <w:szCs w:val="24"/>
                <w:lang w:val="fr-FR" w:eastAsia="en-US"/>
              </w:rPr>
              <w:t xml:space="preserve"> de </w:t>
            </w:r>
            <w:proofErr w:type="spellStart"/>
            <w:r w:rsidRPr="00384075">
              <w:rPr>
                <w:b/>
                <w:sz w:val="24"/>
                <w:szCs w:val="24"/>
                <w:lang w:val="fr-FR" w:eastAsia="en-US"/>
              </w:rPr>
              <w:t>credit</w:t>
            </w:r>
            <w:proofErr w:type="spellEnd"/>
            <w:r w:rsidRPr="00384075">
              <w:rPr>
                <w:b/>
                <w:sz w:val="24"/>
                <w:szCs w:val="24"/>
                <w:lang w:val="fr-FR" w:eastAsia="en-US"/>
              </w:rPr>
              <w:t xml:space="preserve"> de </w:t>
            </w:r>
            <w:proofErr w:type="spellStart"/>
            <w:r w:rsidRPr="00384075">
              <w:rPr>
                <w:b/>
                <w:sz w:val="24"/>
                <w:szCs w:val="24"/>
                <w:lang w:val="fr-FR" w:eastAsia="en-US"/>
              </w:rPr>
              <w:t>consum</w:t>
            </w:r>
            <w:proofErr w:type="spellEnd"/>
          </w:p>
          <w:p w14:paraId="7A258148" w14:textId="77777777" w:rsidR="0050365C" w:rsidRPr="00384075" w:rsidRDefault="00AD64D9" w:rsidP="0050365C">
            <w:pPr>
              <w:jc w:val="center"/>
              <w:rPr>
                <w:b/>
                <w:sz w:val="24"/>
                <w:szCs w:val="24"/>
                <w:lang w:val="fr-FR" w:eastAsia="en-US"/>
              </w:rPr>
            </w:pPr>
            <w:proofErr w:type="spellStart"/>
            <w:proofErr w:type="gramStart"/>
            <w:r w:rsidRPr="00384075">
              <w:rPr>
                <w:b/>
                <w:sz w:val="24"/>
                <w:szCs w:val="24"/>
                <w:lang w:val="fr-FR" w:eastAsia="en-US"/>
              </w:rPr>
              <w:t>precum</w:t>
            </w:r>
            <w:proofErr w:type="spellEnd"/>
            <w:proofErr w:type="gramEnd"/>
            <w:r w:rsidRPr="00384075">
              <w:rPr>
                <w:b/>
                <w:sz w:val="24"/>
                <w:szCs w:val="24"/>
                <w:lang w:val="fr-FR" w:eastAsia="en-US"/>
              </w:rPr>
              <w:t xml:space="preserve"> </w:t>
            </w:r>
            <w:proofErr w:type="spellStart"/>
            <w:r w:rsidRPr="00384075">
              <w:rPr>
                <w:b/>
                <w:sz w:val="24"/>
                <w:szCs w:val="24"/>
                <w:lang w:val="fr-FR" w:eastAsia="en-US"/>
              </w:rPr>
              <w:t>și</w:t>
            </w:r>
            <w:proofErr w:type="spellEnd"/>
            <w:r w:rsidRPr="00384075">
              <w:rPr>
                <w:b/>
                <w:sz w:val="24"/>
                <w:szCs w:val="24"/>
                <w:lang w:val="fr-FR" w:eastAsia="en-US"/>
              </w:rPr>
              <w:t xml:space="preserve"> pentru </w:t>
            </w:r>
            <w:proofErr w:type="spellStart"/>
            <w:r w:rsidRPr="00384075">
              <w:rPr>
                <w:b/>
                <w:sz w:val="24"/>
                <w:szCs w:val="24"/>
                <w:lang w:val="fr-FR" w:eastAsia="en-US"/>
              </w:rPr>
              <w:t>modificarea</w:t>
            </w:r>
            <w:proofErr w:type="spellEnd"/>
            <w:r w:rsidRPr="00384075">
              <w:rPr>
                <w:b/>
                <w:sz w:val="24"/>
                <w:szCs w:val="24"/>
                <w:lang w:val="fr-FR" w:eastAsia="en-US"/>
              </w:rPr>
              <w:t xml:space="preserve"> </w:t>
            </w:r>
            <w:proofErr w:type="spellStart"/>
            <w:r w:rsidRPr="00384075">
              <w:rPr>
                <w:b/>
                <w:sz w:val="24"/>
                <w:szCs w:val="24"/>
                <w:lang w:val="fr-FR" w:eastAsia="en-US"/>
              </w:rPr>
              <w:t>și</w:t>
            </w:r>
            <w:proofErr w:type="spellEnd"/>
            <w:r w:rsidRPr="00384075">
              <w:rPr>
                <w:b/>
                <w:sz w:val="24"/>
                <w:szCs w:val="24"/>
                <w:lang w:val="fr-FR" w:eastAsia="en-US"/>
              </w:rPr>
              <w:t xml:space="preserve"> </w:t>
            </w:r>
            <w:proofErr w:type="spellStart"/>
            <w:r w:rsidRPr="00384075">
              <w:rPr>
                <w:b/>
                <w:sz w:val="24"/>
                <w:szCs w:val="24"/>
                <w:lang w:val="fr-FR" w:eastAsia="en-US"/>
              </w:rPr>
              <w:t>completarea</w:t>
            </w:r>
            <w:proofErr w:type="spellEnd"/>
            <w:r w:rsidRPr="00384075">
              <w:rPr>
                <w:b/>
                <w:sz w:val="24"/>
                <w:szCs w:val="24"/>
                <w:lang w:val="fr-FR" w:eastAsia="en-US"/>
              </w:rPr>
              <w:t xml:space="preserve"> </w:t>
            </w:r>
            <w:proofErr w:type="spellStart"/>
            <w:r w:rsidRPr="00384075">
              <w:rPr>
                <w:b/>
                <w:sz w:val="24"/>
                <w:szCs w:val="24"/>
                <w:lang w:val="fr-FR" w:eastAsia="en-US"/>
              </w:rPr>
              <w:t>unor</w:t>
            </w:r>
            <w:proofErr w:type="spellEnd"/>
            <w:r w:rsidRPr="00384075">
              <w:rPr>
                <w:b/>
                <w:sz w:val="24"/>
                <w:szCs w:val="24"/>
                <w:lang w:val="fr-FR" w:eastAsia="en-US"/>
              </w:rPr>
              <w:t xml:space="preserve"> acte normative </w:t>
            </w:r>
            <w:proofErr w:type="spellStart"/>
            <w:r w:rsidRPr="00384075">
              <w:rPr>
                <w:b/>
                <w:sz w:val="24"/>
                <w:szCs w:val="24"/>
                <w:lang w:val="fr-FR" w:eastAsia="en-US"/>
              </w:rPr>
              <w:t>în</w:t>
            </w:r>
            <w:proofErr w:type="spellEnd"/>
            <w:r w:rsidRPr="00384075">
              <w:rPr>
                <w:b/>
                <w:sz w:val="24"/>
                <w:szCs w:val="24"/>
                <w:lang w:val="fr-FR" w:eastAsia="en-US"/>
              </w:rPr>
              <w:t xml:space="preserve"> </w:t>
            </w:r>
            <w:proofErr w:type="spellStart"/>
            <w:r w:rsidRPr="00384075">
              <w:rPr>
                <w:b/>
                <w:sz w:val="24"/>
                <w:szCs w:val="24"/>
                <w:lang w:val="fr-FR" w:eastAsia="en-US"/>
              </w:rPr>
              <w:t>domeniul</w:t>
            </w:r>
            <w:proofErr w:type="spellEnd"/>
            <w:r w:rsidRPr="00384075">
              <w:rPr>
                <w:b/>
                <w:sz w:val="24"/>
                <w:szCs w:val="24"/>
                <w:lang w:val="fr-FR" w:eastAsia="en-US"/>
              </w:rPr>
              <w:t xml:space="preserve"> </w:t>
            </w:r>
            <w:proofErr w:type="spellStart"/>
            <w:r w:rsidRPr="00384075">
              <w:rPr>
                <w:b/>
                <w:sz w:val="24"/>
                <w:szCs w:val="24"/>
                <w:lang w:val="fr-FR" w:eastAsia="en-US"/>
              </w:rPr>
              <w:t>financiar</w:t>
            </w:r>
            <w:proofErr w:type="spellEnd"/>
          </w:p>
          <w:bookmarkEnd w:id="0"/>
          <w:p w14:paraId="0BDD98D3" w14:textId="77777777" w:rsidR="00546994" w:rsidRPr="00384075" w:rsidRDefault="00546994" w:rsidP="0050365C">
            <w:pPr>
              <w:jc w:val="center"/>
              <w:rPr>
                <w:sz w:val="24"/>
                <w:szCs w:val="24"/>
                <w:lang w:eastAsia="en-US"/>
              </w:rPr>
            </w:pPr>
          </w:p>
        </w:tc>
      </w:tr>
      <w:tr w:rsidR="00384075" w:rsidRPr="00384075" w14:paraId="31F184EA" w14:textId="77777777" w:rsidTr="00D66EA6">
        <w:trPr>
          <w:jc w:val="center"/>
        </w:trPr>
        <w:tc>
          <w:tcPr>
            <w:tcW w:w="10335" w:type="dxa"/>
            <w:gridSpan w:val="7"/>
          </w:tcPr>
          <w:p w14:paraId="63B68130" w14:textId="77777777" w:rsidR="00E26F01" w:rsidRPr="00384075" w:rsidRDefault="00E26F01" w:rsidP="0050365C">
            <w:pPr>
              <w:jc w:val="center"/>
              <w:rPr>
                <w:b/>
                <w:sz w:val="24"/>
                <w:szCs w:val="24"/>
                <w:lang w:eastAsia="en-US"/>
              </w:rPr>
            </w:pPr>
          </w:p>
          <w:p w14:paraId="6B8702F3" w14:textId="77777777" w:rsidR="00BF3862" w:rsidRPr="00384075" w:rsidRDefault="00BF3862" w:rsidP="0050365C">
            <w:pPr>
              <w:jc w:val="center"/>
              <w:rPr>
                <w:b/>
                <w:sz w:val="24"/>
                <w:szCs w:val="24"/>
                <w:lang w:eastAsia="en-US"/>
              </w:rPr>
            </w:pPr>
            <w:r w:rsidRPr="00384075">
              <w:rPr>
                <w:b/>
                <w:sz w:val="24"/>
                <w:szCs w:val="24"/>
                <w:lang w:eastAsia="en-US"/>
              </w:rPr>
              <w:t>Sec</w:t>
            </w:r>
            <w:r w:rsidR="00EB750B" w:rsidRPr="00384075">
              <w:rPr>
                <w:b/>
                <w:sz w:val="24"/>
                <w:szCs w:val="24"/>
                <w:lang w:eastAsia="en-US"/>
              </w:rPr>
              <w:t>ț</w:t>
            </w:r>
            <w:r w:rsidRPr="00384075">
              <w:rPr>
                <w:b/>
                <w:sz w:val="24"/>
                <w:szCs w:val="24"/>
                <w:lang w:eastAsia="en-US"/>
              </w:rPr>
              <w:t>iunea a 2 –a</w:t>
            </w:r>
          </w:p>
          <w:p w14:paraId="35890F6D" w14:textId="77777777" w:rsidR="00BF3862" w:rsidRPr="00384075" w:rsidRDefault="00BF3862" w:rsidP="0050365C">
            <w:pPr>
              <w:jc w:val="center"/>
              <w:rPr>
                <w:b/>
                <w:sz w:val="24"/>
                <w:szCs w:val="24"/>
                <w:lang w:eastAsia="en-US"/>
              </w:rPr>
            </w:pPr>
            <w:r w:rsidRPr="00384075">
              <w:rPr>
                <w:b/>
                <w:sz w:val="24"/>
                <w:szCs w:val="24"/>
                <w:lang w:eastAsia="en-US"/>
              </w:rPr>
              <w:t>Motivul emiterii actului normativ</w:t>
            </w:r>
          </w:p>
          <w:p w14:paraId="662198D8" w14:textId="77777777" w:rsidR="00685003" w:rsidRPr="00384075" w:rsidRDefault="00685003" w:rsidP="0050365C">
            <w:pPr>
              <w:jc w:val="center"/>
              <w:rPr>
                <w:b/>
                <w:sz w:val="24"/>
                <w:szCs w:val="24"/>
                <w:lang w:eastAsia="en-US"/>
              </w:rPr>
            </w:pPr>
          </w:p>
        </w:tc>
      </w:tr>
      <w:tr w:rsidR="00384075" w:rsidRPr="00384075" w14:paraId="3FB94CE7" w14:textId="77777777" w:rsidTr="00D66EA6">
        <w:trPr>
          <w:jc w:val="center"/>
        </w:trPr>
        <w:tc>
          <w:tcPr>
            <w:tcW w:w="10335" w:type="dxa"/>
            <w:gridSpan w:val="7"/>
          </w:tcPr>
          <w:p w14:paraId="1984D4CF" w14:textId="478AAE6C" w:rsidR="00B8342B" w:rsidRPr="00384075" w:rsidRDefault="00A62022" w:rsidP="0050365C">
            <w:pPr>
              <w:spacing w:before="120" w:after="120"/>
              <w:rPr>
                <w:b/>
                <w:bCs/>
                <w:sz w:val="24"/>
                <w:szCs w:val="24"/>
                <w:lang w:eastAsia="en-US"/>
              </w:rPr>
            </w:pPr>
            <w:r w:rsidRPr="00384075">
              <w:rPr>
                <w:b/>
                <w:bCs/>
                <w:sz w:val="24"/>
                <w:szCs w:val="24"/>
                <w:lang w:eastAsia="en-US"/>
              </w:rPr>
              <w:t>2.1</w:t>
            </w:r>
            <w:r w:rsidR="007439FA" w:rsidRPr="00384075">
              <w:rPr>
                <w:b/>
                <w:bCs/>
                <w:sz w:val="24"/>
                <w:szCs w:val="24"/>
                <w:lang w:eastAsia="en-US"/>
              </w:rPr>
              <w:t>.</w:t>
            </w:r>
            <w:r w:rsidRPr="00384075">
              <w:rPr>
                <w:b/>
                <w:bCs/>
                <w:sz w:val="24"/>
                <w:szCs w:val="24"/>
                <w:lang w:eastAsia="en-US"/>
              </w:rPr>
              <w:t xml:space="preserve"> Sursa proiectului de act normativ</w:t>
            </w:r>
            <w:r w:rsidR="001F0E0E" w:rsidRPr="00384075">
              <w:rPr>
                <w:b/>
                <w:bCs/>
                <w:sz w:val="24"/>
                <w:szCs w:val="24"/>
                <w:lang w:eastAsia="en-US"/>
              </w:rPr>
              <w:t>:</w:t>
            </w:r>
          </w:p>
          <w:p w14:paraId="17E4CDD6" w14:textId="7CEBA239" w:rsidR="00A97685" w:rsidRPr="00384075" w:rsidRDefault="007A515D" w:rsidP="0050365C">
            <w:pPr>
              <w:spacing w:before="120" w:after="120"/>
              <w:jc w:val="both"/>
              <w:rPr>
                <w:bCs/>
                <w:iCs/>
                <w:noProof/>
                <w:sz w:val="24"/>
                <w:szCs w:val="24"/>
              </w:rPr>
            </w:pPr>
            <w:r w:rsidRPr="00384075">
              <w:rPr>
                <w:bCs/>
                <w:iCs/>
                <w:noProof/>
                <w:sz w:val="24"/>
                <w:szCs w:val="24"/>
              </w:rPr>
              <w:t>Directiva (UE) 2023/2225 a Parlamentului European și a Consiliului din 18 octombrie 2023 privind contractele de credit de consum și de abrogare a Directivei 2008/48/CE, publicată în JO L, 2023/2225, 30.10.2023</w:t>
            </w:r>
          </w:p>
        </w:tc>
      </w:tr>
      <w:tr w:rsidR="00384075" w:rsidRPr="00384075" w14:paraId="5EA21604" w14:textId="77777777" w:rsidTr="00D66EA6">
        <w:trPr>
          <w:jc w:val="center"/>
        </w:trPr>
        <w:tc>
          <w:tcPr>
            <w:tcW w:w="10335" w:type="dxa"/>
            <w:gridSpan w:val="7"/>
          </w:tcPr>
          <w:p w14:paraId="1EFC38E2" w14:textId="0C12C7E1" w:rsidR="005A1D9A" w:rsidRPr="00384075" w:rsidRDefault="00A62022" w:rsidP="0050365C">
            <w:pPr>
              <w:pStyle w:val="TableParagraph"/>
              <w:ind w:left="0"/>
              <w:jc w:val="both"/>
              <w:rPr>
                <w:b/>
                <w:sz w:val="24"/>
                <w:szCs w:val="24"/>
              </w:rPr>
            </w:pPr>
            <w:r w:rsidRPr="00384075">
              <w:rPr>
                <w:b/>
                <w:sz w:val="24"/>
                <w:szCs w:val="24"/>
              </w:rPr>
              <w:t>2.2.</w:t>
            </w:r>
            <w:r w:rsidR="007439FA" w:rsidRPr="00384075">
              <w:rPr>
                <w:b/>
                <w:sz w:val="24"/>
                <w:szCs w:val="24"/>
              </w:rPr>
              <w:t xml:space="preserve"> </w:t>
            </w:r>
            <w:r w:rsidRPr="00384075">
              <w:rPr>
                <w:b/>
                <w:sz w:val="24"/>
                <w:szCs w:val="24"/>
              </w:rPr>
              <w:t>Descrierea</w:t>
            </w:r>
            <w:r w:rsidRPr="00384075">
              <w:rPr>
                <w:b/>
                <w:spacing w:val="-6"/>
                <w:sz w:val="24"/>
                <w:szCs w:val="24"/>
              </w:rPr>
              <w:t xml:space="preserve"> </w:t>
            </w:r>
            <w:r w:rsidRPr="00384075">
              <w:rPr>
                <w:b/>
                <w:sz w:val="24"/>
                <w:szCs w:val="24"/>
              </w:rPr>
              <w:t>situației</w:t>
            </w:r>
            <w:r w:rsidRPr="00384075">
              <w:rPr>
                <w:b/>
                <w:spacing w:val="-5"/>
                <w:sz w:val="24"/>
                <w:szCs w:val="24"/>
              </w:rPr>
              <w:t xml:space="preserve"> </w:t>
            </w:r>
            <w:r w:rsidRPr="00384075">
              <w:rPr>
                <w:b/>
                <w:sz w:val="24"/>
                <w:szCs w:val="24"/>
              </w:rPr>
              <w:t>actuale:</w:t>
            </w:r>
          </w:p>
          <w:p w14:paraId="12E6D16A" w14:textId="2CCC9C2F" w:rsidR="007B15F9" w:rsidRPr="00384075" w:rsidRDefault="00244E6C" w:rsidP="0050365C">
            <w:pPr>
              <w:jc w:val="both"/>
              <w:rPr>
                <w:sz w:val="24"/>
                <w:szCs w:val="24"/>
                <w:lang w:eastAsia="en-US"/>
              </w:rPr>
            </w:pPr>
            <w:r w:rsidRPr="00384075">
              <w:rPr>
                <w:sz w:val="24"/>
                <w:szCs w:val="24"/>
                <w:lang w:eastAsia="en-US"/>
              </w:rPr>
              <w:t>Ordonanţa de urgenţă nr. 50/2010 privind contractele de credit pentru consumatori</w:t>
            </w:r>
            <w:r w:rsidR="00A33C13" w:rsidRPr="00384075">
              <w:rPr>
                <w:sz w:val="24"/>
                <w:szCs w:val="24"/>
                <w:lang w:eastAsia="en-US"/>
              </w:rPr>
              <w:t xml:space="preserve">, aprobată prin Legea nr. </w:t>
            </w:r>
            <w:r w:rsidRPr="00384075">
              <w:rPr>
                <w:sz w:val="24"/>
                <w:szCs w:val="24"/>
                <w:lang w:eastAsia="en-US"/>
              </w:rPr>
              <w:t>288/2010</w:t>
            </w:r>
            <w:r w:rsidR="00C70FA3" w:rsidRPr="00384075">
              <w:rPr>
                <w:sz w:val="24"/>
                <w:szCs w:val="24"/>
                <w:lang w:eastAsia="en-US"/>
              </w:rPr>
              <w:t xml:space="preserve">, </w:t>
            </w:r>
            <w:r w:rsidR="00C02D0A" w:rsidRPr="00384075">
              <w:rPr>
                <w:sz w:val="24"/>
                <w:szCs w:val="24"/>
                <w:lang w:eastAsia="en-US"/>
              </w:rPr>
              <w:t xml:space="preserve">transpune în legislaţia naţională </w:t>
            </w:r>
            <w:r w:rsidRPr="00384075">
              <w:rPr>
                <w:sz w:val="24"/>
                <w:szCs w:val="24"/>
                <w:lang w:eastAsia="en-US"/>
              </w:rPr>
              <w:t>Directiv</w:t>
            </w:r>
            <w:r w:rsidR="00C405CE" w:rsidRPr="00384075">
              <w:rPr>
                <w:sz w:val="24"/>
                <w:szCs w:val="24"/>
                <w:lang w:eastAsia="en-US"/>
              </w:rPr>
              <w:t>a</w:t>
            </w:r>
            <w:r w:rsidRPr="00384075">
              <w:rPr>
                <w:sz w:val="24"/>
                <w:szCs w:val="24"/>
                <w:lang w:eastAsia="en-US"/>
              </w:rPr>
              <w:t xml:space="preserve"> 2008/48/CE a Parlamentului European şi a Consiliului din 23 aprilie 2008 privind contractele de credit pentru consumatori şi de abrogare a Directivei 87/102/CEE a Consiliului, publicată în Jurnalul Oficial al Uniunii Europene seria L nr. 133 din 22 mai 2008</w:t>
            </w:r>
            <w:r w:rsidR="00A33C13" w:rsidRPr="00384075">
              <w:rPr>
                <w:sz w:val="24"/>
                <w:szCs w:val="24"/>
                <w:lang w:eastAsia="en-US"/>
              </w:rPr>
              <w:t>.</w:t>
            </w:r>
            <w:r w:rsidR="007B15F9" w:rsidRPr="00384075">
              <w:rPr>
                <w:sz w:val="24"/>
                <w:szCs w:val="24"/>
                <w:lang w:eastAsia="en-US"/>
              </w:rPr>
              <w:t xml:space="preserve"> </w:t>
            </w:r>
          </w:p>
          <w:p w14:paraId="3BFC9A70" w14:textId="77777777" w:rsidR="00E03E48" w:rsidRPr="00384075" w:rsidRDefault="00E03E48" w:rsidP="0050365C">
            <w:pPr>
              <w:jc w:val="both"/>
              <w:rPr>
                <w:sz w:val="24"/>
                <w:szCs w:val="24"/>
                <w:lang w:eastAsia="en-US"/>
              </w:rPr>
            </w:pPr>
          </w:p>
          <w:p w14:paraId="64BD86BD" w14:textId="0B75849D" w:rsidR="00A97685" w:rsidRPr="00384075" w:rsidRDefault="00E03E48" w:rsidP="0050365C">
            <w:pPr>
              <w:jc w:val="both"/>
              <w:rPr>
                <w:sz w:val="24"/>
                <w:szCs w:val="24"/>
                <w:lang w:eastAsia="en-US"/>
              </w:rPr>
            </w:pPr>
            <w:r w:rsidRPr="00384075">
              <w:rPr>
                <w:sz w:val="24"/>
                <w:szCs w:val="24"/>
                <w:lang w:eastAsia="en-US"/>
              </w:rPr>
              <w:t>Ținând cont de faptul c</w:t>
            </w:r>
            <w:r w:rsidR="00E11818" w:rsidRPr="00384075">
              <w:rPr>
                <w:sz w:val="24"/>
                <w:szCs w:val="24"/>
                <w:lang w:eastAsia="en-US"/>
              </w:rPr>
              <w:t>ă</w:t>
            </w:r>
            <w:r w:rsidRPr="00384075">
              <w:rPr>
                <w:sz w:val="24"/>
                <w:szCs w:val="24"/>
                <w:lang w:eastAsia="en-US"/>
              </w:rPr>
              <w:t xml:space="preserve"> </w:t>
            </w:r>
            <w:r w:rsidR="00244E6C" w:rsidRPr="00384075">
              <w:rPr>
                <w:sz w:val="24"/>
                <w:szCs w:val="24"/>
                <w:lang w:eastAsia="en-US"/>
              </w:rPr>
              <w:t>Directiva (UE) 2023/2225 a Parlamentului European și a Consiliului din 18 octombrie 2023 privind contractele de credit de consum</w:t>
            </w:r>
            <w:r w:rsidR="002054BF" w:rsidRPr="00384075">
              <w:rPr>
                <w:sz w:val="24"/>
                <w:szCs w:val="24"/>
                <w:lang w:eastAsia="en-US"/>
              </w:rPr>
              <w:t>,</w:t>
            </w:r>
            <w:r w:rsidR="00244E6C" w:rsidRPr="00384075">
              <w:rPr>
                <w:sz w:val="24"/>
                <w:szCs w:val="24"/>
                <w:lang w:eastAsia="en-US"/>
              </w:rPr>
              <w:t xml:space="preserve"> </w:t>
            </w:r>
            <w:r w:rsidR="00A22AFC" w:rsidRPr="00384075">
              <w:rPr>
                <w:sz w:val="24"/>
                <w:szCs w:val="24"/>
                <w:lang w:eastAsia="en-US"/>
              </w:rPr>
              <w:t xml:space="preserve">abrogă </w:t>
            </w:r>
            <w:r w:rsidR="00244E6C" w:rsidRPr="00384075">
              <w:rPr>
                <w:sz w:val="24"/>
                <w:szCs w:val="24"/>
                <w:lang w:eastAsia="en-US"/>
              </w:rPr>
              <w:t>Directiv</w:t>
            </w:r>
            <w:r w:rsidR="00A22AFC" w:rsidRPr="00384075">
              <w:rPr>
                <w:sz w:val="24"/>
                <w:szCs w:val="24"/>
                <w:lang w:eastAsia="en-US"/>
              </w:rPr>
              <w:t>a</w:t>
            </w:r>
            <w:r w:rsidR="00244E6C" w:rsidRPr="00384075">
              <w:rPr>
                <w:sz w:val="24"/>
                <w:szCs w:val="24"/>
                <w:lang w:eastAsia="en-US"/>
              </w:rPr>
              <w:t xml:space="preserve"> 2008/48/CE</w:t>
            </w:r>
            <w:r w:rsidR="002054BF" w:rsidRPr="00384075">
              <w:rPr>
                <w:sz w:val="24"/>
                <w:szCs w:val="24"/>
                <w:lang w:eastAsia="en-US"/>
              </w:rPr>
              <w:t>,</w:t>
            </w:r>
            <w:r w:rsidR="00244E6C" w:rsidRPr="00384075">
              <w:rPr>
                <w:sz w:val="24"/>
                <w:szCs w:val="24"/>
                <w:lang w:eastAsia="en-US"/>
              </w:rPr>
              <w:t xml:space="preserve"> </w:t>
            </w:r>
            <w:r w:rsidRPr="00384075">
              <w:rPr>
                <w:sz w:val="24"/>
                <w:szCs w:val="24"/>
                <w:lang w:eastAsia="en-US"/>
              </w:rPr>
              <w:t xml:space="preserve">este necesară </w:t>
            </w:r>
            <w:r w:rsidR="00A22AFC" w:rsidRPr="00384075">
              <w:rPr>
                <w:sz w:val="24"/>
                <w:szCs w:val="24"/>
                <w:lang w:eastAsia="en-US"/>
              </w:rPr>
              <w:t>abr</w:t>
            </w:r>
            <w:r w:rsidR="00C405CE" w:rsidRPr="00384075">
              <w:rPr>
                <w:sz w:val="24"/>
                <w:szCs w:val="24"/>
                <w:lang w:eastAsia="en-US"/>
              </w:rPr>
              <w:t>o</w:t>
            </w:r>
            <w:r w:rsidR="00A22AFC" w:rsidRPr="00384075">
              <w:rPr>
                <w:sz w:val="24"/>
                <w:szCs w:val="24"/>
                <w:lang w:eastAsia="en-US"/>
              </w:rPr>
              <w:t>garea Ordonanței de urgență nr. 50/2010 privind contractele de credit pentru consumatori  și crearea unui cadrul legislativ nou, adecvat.</w:t>
            </w:r>
          </w:p>
          <w:p w14:paraId="55E6E882" w14:textId="77777777" w:rsidR="00040F0A" w:rsidRPr="00384075" w:rsidRDefault="00040F0A" w:rsidP="0050365C">
            <w:pPr>
              <w:jc w:val="both"/>
              <w:rPr>
                <w:sz w:val="24"/>
                <w:szCs w:val="24"/>
                <w:shd w:val="clear" w:color="auto" w:fill="FFFFFF"/>
              </w:rPr>
            </w:pPr>
          </w:p>
          <w:p w14:paraId="1672B9FE" w14:textId="4856CE8E" w:rsidR="00040F0A" w:rsidRPr="00384075" w:rsidRDefault="00040F0A" w:rsidP="0050365C">
            <w:pPr>
              <w:jc w:val="both"/>
              <w:rPr>
                <w:sz w:val="24"/>
                <w:szCs w:val="24"/>
                <w:lang w:eastAsia="en-US"/>
              </w:rPr>
            </w:pPr>
            <w:r w:rsidRPr="00384075">
              <w:rPr>
                <w:sz w:val="24"/>
                <w:szCs w:val="24"/>
                <w:lang w:eastAsia="en-US"/>
              </w:rPr>
              <w:t>Cu toate acestea, Directiva 2008/48/CE continuă să se aplice contractelor de credit existente la</w:t>
            </w:r>
            <w:r w:rsidR="002054BF" w:rsidRPr="00384075">
              <w:rPr>
                <w:sz w:val="24"/>
                <w:szCs w:val="24"/>
                <w:lang w:eastAsia="en-US"/>
              </w:rPr>
              <w:t xml:space="preserve"> data de</w:t>
            </w:r>
            <w:r w:rsidRPr="00384075">
              <w:rPr>
                <w:sz w:val="24"/>
                <w:szCs w:val="24"/>
                <w:lang w:eastAsia="en-US"/>
              </w:rPr>
              <w:t xml:space="preserve"> 20 noiembrie 2026 până la încetarea acestora. În consecință</w:t>
            </w:r>
            <w:r w:rsidR="00C405CE" w:rsidRPr="00384075">
              <w:rPr>
                <w:sz w:val="24"/>
                <w:szCs w:val="24"/>
                <w:lang w:eastAsia="en-US"/>
              </w:rPr>
              <w:t>,</w:t>
            </w:r>
            <w:r w:rsidRPr="00384075">
              <w:rPr>
                <w:sz w:val="24"/>
                <w:szCs w:val="24"/>
                <w:lang w:eastAsia="en-US"/>
              </w:rPr>
              <w:t xml:space="preserve"> Ordonanţa de urgenţă nr. 50/2010 continuă să se aplice contractelor de credit existente la </w:t>
            </w:r>
            <w:r w:rsidR="002054BF" w:rsidRPr="00384075">
              <w:rPr>
                <w:sz w:val="24"/>
                <w:szCs w:val="24"/>
                <w:lang w:eastAsia="en-US"/>
              </w:rPr>
              <w:t xml:space="preserve">data de </w:t>
            </w:r>
            <w:r w:rsidRPr="00384075">
              <w:rPr>
                <w:sz w:val="24"/>
                <w:szCs w:val="24"/>
                <w:lang w:eastAsia="en-US"/>
              </w:rPr>
              <w:t>20 noiembrie 2026 până la încetarea acestora.</w:t>
            </w:r>
          </w:p>
          <w:p w14:paraId="5980347C" w14:textId="77777777" w:rsidR="005A1D9A" w:rsidRPr="00384075" w:rsidRDefault="005A1D9A" w:rsidP="0050365C">
            <w:pPr>
              <w:jc w:val="both"/>
              <w:rPr>
                <w:sz w:val="24"/>
                <w:szCs w:val="24"/>
                <w:lang w:eastAsia="en-US"/>
              </w:rPr>
            </w:pPr>
          </w:p>
          <w:p w14:paraId="4637A3AF" w14:textId="72501C13" w:rsidR="005A1D9A" w:rsidRPr="00384075" w:rsidRDefault="005A1D9A" w:rsidP="005A1D9A">
            <w:pPr>
              <w:jc w:val="both"/>
              <w:rPr>
                <w:sz w:val="24"/>
                <w:szCs w:val="24"/>
                <w:lang w:eastAsia="en-US"/>
              </w:rPr>
            </w:pPr>
            <w:r w:rsidRPr="00384075">
              <w:rPr>
                <w:sz w:val="24"/>
                <w:szCs w:val="24"/>
                <w:lang w:eastAsia="en-US"/>
              </w:rPr>
              <w:t>Potrivit celor enunțate în cuprinsul documentului de prezentare care a con</w:t>
            </w:r>
            <w:r w:rsidR="00D66EA6" w:rsidRPr="00384075">
              <w:rPr>
                <w:sz w:val="24"/>
                <w:szCs w:val="24"/>
                <w:lang w:eastAsia="en-US"/>
              </w:rPr>
              <w:t>s</w:t>
            </w:r>
            <w:r w:rsidRPr="00384075">
              <w:rPr>
                <w:sz w:val="24"/>
                <w:szCs w:val="24"/>
                <w:lang w:eastAsia="en-US"/>
              </w:rPr>
              <w:t>tituit baza elaborării pro</w:t>
            </w:r>
            <w:r w:rsidR="00C405CE" w:rsidRPr="00384075">
              <w:rPr>
                <w:sz w:val="24"/>
                <w:szCs w:val="24"/>
                <w:lang w:eastAsia="en-US"/>
              </w:rPr>
              <w:t>i</w:t>
            </w:r>
            <w:r w:rsidRPr="00384075">
              <w:rPr>
                <w:sz w:val="24"/>
                <w:szCs w:val="24"/>
                <w:lang w:eastAsia="en-US"/>
              </w:rPr>
              <w:t>ectului noii Directive</w:t>
            </w:r>
            <w:r w:rsidR="00E11818" w:rsidRPr="00384075">
              <w:rPr>
                <w:sz w:val="24"/>
                <w:szCs w:val="24"/>
                <w:lang w:eastAsia="en-US"/>
              </w:rPr>
              <w:t xml:space="preserve"> </w:t>
            </w:r>
            <w:r w:rsidRPr="00384075">
              <w:rPr>
                <w:sz w:val="24"/>
                <w:szCs w:val="24"/>
                <w:lang w:eastAsia="en-US"/>
              </w:rPr>
              <w:t>(UE) 2023/2225, Directiva 2008/48/CE privind contractele de credit pentru consumatori (denumită în continuare „Directiva privind creditul de consum” sau „</w:t>
            </w:r>
            <w:r w:rsidR="00C405CE" w:rsidRPr="00384075">
              <w:rPr>
                <w:sz w:val="24"/>
                <w:szCs w:val="24"/>
                <w:lang w:eastAsia="en-US"/>
              </w:rPr>
              <w:t>D</w:t>
            </w:r>
            <w:r w:rsidRPr="00384075">
              <w:rPr>
                <w:sz w:val="24"/>
                <w:szCs w:val="24"/>
                <w:lang w:eastAsia="en-US"/>
              </w:rPr>
              <w:t>irectiva”), modificată în 2011, 2014, 2016 și 2019, a instituit un cadru armonizat la nivelul UE pentru creditele de consum cu scopul de a facilita apariția unei piețe interne a creditelor de consum care să funcționeze corespunzător, și să ofere un grad ridicat de protecție a consumatorilor, sporind astfel încrederea acestora.</w:t>
            </w:r>
          </w:p>
          <w:p w14:paraId="5F8F4ED5" w14:textId="77777777" w:rsidR="005A1D9A" w:rsidRPr="00384075" w:rsidRDefault="005A1D9A" w:rsidP="005A1D9A">
            <w:pPr>
              <w:jc w:val="both"/>
              <w:rPr>
                <w:sz w:val="24"/>
                <w:szCs w:val="24"/>
                <w:lang w:eastAsia="en-US"/>
              </w:rPr>
            </w:pPr>
          </w:p>
          <w:p w14:paraId="17D02E8D" w14:textId="39527C72" w:rsidR="005A1D9A" w:rsidRPr="00384075" w:rsidRDefault="005A1D9A" w:rsidP="005A1D9A">
            <w:pPr>
              <w:jc w:val="both"/>
              <w:rPr>
                <w:sz w:val="24"/>
                <w:szCs w:val="24"/>
                <w:lang w:eastAsia="en-US"/>
              </w:rPr>
            </w:pPr>
            <w:r w:rsidRPr="00384075">
              <w:rPr>
                <w:sz w:val="24"/>
                <w:szCs w:val="24"/>
                <w:lang w:eastAsia="en-US"/>
              </w:rPr>
              <w:t xml:space="preserve">O evaluare efectuată la nivelul Comisiei Europene în perioada 2018-2019 a constatat că obiectivele </w:t>
            </w:r>
            <w:r w:rsidR="00C405CE" w:rsidRPr="00384075">
              <w:rPr>
                <w:sz w:val="24"/>
                <w:szCs w:val="24"/>
                <w:lang w:eastAsia="en-US"/>
              </w:rPr>
              <w:t>D</w:t>
            </w:r>
            <w:r w:rsidRPr="00384075">
              <w:rPr>
                <w:sz w:val="24"/>
                <w:szCs w:val="24"/>
                <w:lang w:eastAsia="en-US"/>
              </w:rPr>
              <w:t>irectivei din 2008, și anume asigurarea unor standarde ridicate de protecție a consumatorilor și încurajarea dezvoltării unei piețe interne pentru credite</w:t>
            </w:r>
            <w:r w:rsidR="00C405CE" w:rsidRPr="00384075">
              <w:rPr>
                <w:sz w:val="24"/>
                <w:szCs w:val="24"/>
                <w:lang w:eastAsia="en-US"/>
              </w:rPr>
              <w:t>,</w:t>
            </w:r>
            <w:r w:rsidRPr="00384075">
              <w:rPr>
                <w:sz w:val="24"/>
                <w:szCs w:val="24"/>
                <w:lang w:eastAsia="en-US"/>
              </w:rPr>
              <w:t xml:space="preserve"> sunt în continuare relevante în contextul unui cadru de reglementare destul de fragmentat la nivelul UE și au fost îndeplinite doar parțial. O astfel de fragmentare, împreună cu insecuritatea juridică cauzată de formularea imprecisă a anumitor dispoziții ale </w:t>
            </w:r>
            <w:r w:rsidR="00C405CE" w:rsidRPr="00384075">
              <w:rPr>
                <w:sz w:val="24"/>
                <w:szCs w:val="24"/>
                <w:lang w:eastAsia="en-US"/>
              </w:rPr>
              <w:lastRenderedPageBreak/>
              <w:t>D</w:t>
            </w:r>
            <w:r w:rsidRPr="00384075">
              <w:rPr>
                <w:sz w:val="24"/>
                <w:szCs w:val="24"/>
                <w:lang w:eastAsia="en-US"/>
              </w:rPr>
              <w:t>irectivei, împiedică buna funcționare a pieței interne pentru creditele de consum și nu garantează un nivel constant ridicat de protecție a consumatorilor.</w:t>
            </w:r>
          </w:p>
          <w:p w14:paraId="2896A3A7" w14:textId="77777777" w:rsidR="005A1D9A" w:rsidRPr="00384075" w:rsidRDefault="005A1D9A" w:rsidP="005A1D9A">
            <w:pPr>
              <w:jc w:val="both"/>
              <w:rPr>
                <w:sz w:val="24"/>
                <w:szCs w:val="24"/>
                <w:lang w:eastAsia="en-US"/>
              </w:rPr>
            </w:pPr>
          </w:p>
          <w:p w14:paraId="3610FBA2" w14:textId="4DEB8A62" w:rsidR="005A1D9A" w:rsidRPr="00384075" w:rsidRDefault="005A1D9A" w:rsidP="005A1D9A">
            <w:pPr>
              <w:jc w:val="both"/>
              <w:rPr>
                <w:sz w:val="24"/>
                <w:szCs w:val="24"/>
                <w:lang w:eastAsia="en-US"/>
              </w:rPr>
            </w:pPr>
            <w:r w:rsidRPr="00384075">
              <w:rPr>
                <w:sz w:val="24"/>
                <w:szCs w:val="24"/>
                <w:lang w:eastAsia="en-US"/>
              </w:rPr>
              <w:t xml:space="preserve">De la adoptarea </w:t>
            </w:r>
            <w:r w:rsidR="00C405CE" w:rsidRPr="00384075">
              <w:rPr>
                <w:sz w:val="24"/>
                <w:szCs w:val="24"/>
                <w:lang w:eastAsia="en-US"/>
              </w:rPr>
              <w:t>D</w:t>
            </w:r>
            <w:r w:rsidRPr="00384075">
              <w:rPr>
                <w:sz w:val="24"/>
                <w:szCs w:val="24"/>
                <w:lang w:eastAsia="en-US"/>
              </w:rPr>
              <w:t>irectivei în 2008, digitalizarea a schimbat profund procesul decizional și obiceiurile consumatorilor în general, care doresc în prezent un proces mai simplu și mai rapid de obținere a creditelor și adesea fac acest lucru online. Acest lucru afectează, de asemenea, sectorul acordării de credite, care devine treptat digitalizat. Noii actori de pe piață, cum ar fi platformele de creditare de la persoană la persoană, oferă contracte de credit sub diferite forme. Au apărut noi produse, cum ar fi creditele cu costuri ridicate pe termen scurt. Digitalizarea a adus, de asemenea, noi modalități de furnizare a informațiilor în format digital și de evaluare a bonității consumatorilor prin utilizarea unor sisteme decizionale automate și a unor date neconvenționale.</w:t>
            </w:r>
          </w:p>
          <w:p w14:paraId="44925802" w14:textId="77777777" w:rsidR="005A1D9A" w:rsidRPr="00384075" w:rsidRDefault="005A1D9A" w:rsidP="005A1D9A">
            <w:pPr>
              <w:jc w:val="both"/>
              <w:rPr>
                <w:sz w:val="24"/>
                <w:szCs w:val="24"/>
                <w:lang w:eastAsia="en-US"/>
              </w:rPr>
            </w:pPr>
          </w:p>
          <w:p w14:paraId="3D471C9E" w14:textId="5B5152AC" w:rsidR="005A1D9A" w:rsidRPr="00384075" w:rsidRDefault="005A1D9A" w:rsidP="005A1D9A">
            <w:pPr>
              <w:jc w:val="both"/>
              <w:rPr>
                <w:sz w:val="24"/>
                <w:szCs w:val="24"/>
                <w:lang w:eastAsia="en-US"/>
              </w:rPr>
            </w:pPr>
            <w:r w:rsidRPr="00384075">
              <w:rPr>
                <w:sz w:val="24"/>
                <w:szCs w:val="24"/>
                <w:lang w:eastAsia="en-US"/>
              </w:rPr>
              <w:t>Criza provocată de pandemia de COVID-19 și măsurile de limitare a circulației persoanelor care au rezultat în urma acesteia au perturbat, de asemenea, economia UE și au avut un impact major asupra pieței creditelor și asupra consumatorilor, în special asupra celor vulnerabili, multe gospodării din UE devenind astfel mai vulnerabile din punct de vedere financiar. În schimb, criza a accelerat transformarea digitală. În contextul crizei provocate de pandemia de COVID-19, statele membre au adoptat o serie de măsuri de ajutor menite să reducă sarcina financiară asupra cetățenilor și gospodăriilor, cum ar fi moratorii pentru rambursarea împrumuturilor care au fost, în general, extinse la creditele de consum.</w:t>
            </w:r>
          </w:p>
          <w:p w14:paraId="6C21B5B5" w14:textId="77777777" w:rsidR="005A1D9A" w:rsidRPr="00384075" w:rsidRDefault="005A1D9A" w:rsidP="005A1D9A">
            <w:pPr>
              <w:jc w:val="both"/>
              <w:rPr>
                <w:sz w:val="24"/>
                <w:szCs w:val="24"/>
                <w:lang w:eastAsia="en-US"/>
              </w:rPr>
            </w:pPr>
          </w:p>
          <w:p w14:paraId="4A55F4ED" w14:textId="53D22DCD" w:rsidR="00040F0A" w:rsidRPr="00384075" w:rsidRDefault="005A1D9A" w:rsidP="005A1D9A">
            <w:pPr>
              <w:jc w:val="both"/>
              <w:rPr>
                <w:sz w:val="24"/>
                <w:szCs w:val="24"/>
                <w:lang w:eastAsia="en-US"/>
              </w:rPr>
            </w:pPr>
            <w:r w:rsidRPr="00384075">
              <w:rPr>
                <w:sz w:val="24"/>
                <w:szCs w:val="24"/>
                <w:lang w:eastAsia="en-US"/>
              </w:rPr>
              <w:t xml:space="preserve">În acest context, Comisia a propus revizuirea Directivei privind creditul de consum. </w:t>
            </w:r>
          </w:p>
        </w:tc>
      </w:tr>
      <w:tr w:rsidR="00384075" w:rsidRPr="00384075" w14:paraId="52F7F89D" w14:textId="77777777" w:rsidTr="00D66EA6">
        <w:trPr>
          <w:jc w:val="center"/>
        </w:trPr>
        <w:tc>
          <w:tcPr>
            <w:tcW w:w="10335" w:type="dxa"/>
            <w:gridSpan w:val="7"/>
          </w:tcPr>
          <w:p w14:paraId="0B338334" w14:textId="77777777" w:rsidR="00A62022" w:rsidRPr="00384075" w:rsidRDefault="00A62022" w:rsidP="0050365C">
            <w:pPr>
              <w:spacing w:before="120" w:after="120"/>
              <w:jc w:val="both"/>
              <w:rPr>
                <w:b/>
                <w:bCs/>
                <w:sz w:val="24"/>
                <w:szCs w:val="24"/>
                <w:lang w:eastAsia="en-US"/>
              </w:rPr>
            </w:pPr>
            <w:r w:rsidRPr="00384075">
              <w:rPr>
                <w:b/>
                <w:bCs/>
                <w:sz w:val="24"/>
                <w:szCs w:val="24"/>
                <w:lang w:eastAsia="en-US"/>
              </w:rPr>
              <w:lastRenderedPageBreak/>
              <w:t>2.3. Schimbări preconizate</w:t>
            </w:r>
            <w:r w:rsidR="001F0E0E" w:rsidRPr="00384075">
              <w:rPr>
                <w:b/>
                <w:bCs/>
                <w:sz w:val="24"/>
                <w:szCs w:val="24"/>
                <w:lang w:eastAsia="en-US"/>
              </w:rPr>
              <w:t>:</w:t>
            </w:r>
          </w:p>
          <w:p w14:paraId="7FAD3628" w14:textId="5A9FA655" w:rsidR="00E3142B" w:rsidRPr="00384075" w:rsidRDefault="00E3142B" w:rsidP="00E3142B">
            <w:pPr>
              <w:spacing w:before="120" w:after="120"/>
              <w:jc w:val="both"/>
              <w:rPr>
                <w:sz w:val="24"/>
                <w:szCs w:val="24"/>
                <w:lang w:eastAsia="en-US"/>
              </w:rPr>
            </w:pPr>
            <w:r w:rsidRPr="00384075">
              <w:rPr>
                <w:sz w:val="24"/>
                <w:szCs w:val="24"/>
                <w:lang w:eastAsia="en-US"/>
              </w:rPr>
              <w:t>Potrivit instrumentului de prezentare elaborat în vederea adoptării Directivei</w:t>
            </w:r>
            <w:r w:rsidR="00AB4B37" w:rsidRPr="00384075">
              <w:rPr>
                <w:sz w:val="24"/>
                <w:szCs w:val="24"/>
                <w:lang w:eastAsia="en-US"/>
              </w:rPr>
              <w:t xml:space="preserve"> </w:t>
            </w:r>
            <w:r w:rsidRPr="00384075">
              <w:rPr>
                <w:sz w:val="24"/>
                <w:szCs w:val="24"/>
                <w:lang w:eastAsia="en-US"/>
              </w:rPr>
              <w:t xml:space="preserve">(UE) 2023/2225 Comisia Europeană menționează faptul că  în 2014 aceasta a prezentat un raport privind punerea în aplicare a </w:t>
            </w:r>
            <w:r w:rsidR="00AB4B37" w:rsidRPr="00384075">
              <w:rPr>
                <w:sz w:val="24"/>
                <w:szCs w:val="24"/>
                <w:lang w:eastAsia="en-US"/>
              </w:rPr>
              <w:t>D</w:t>
            </w:r>
            <w:r w:rsidRPr="00384075">
              <w:rPr>
                <w:sz w:val="24"/>
                <w:szCs w:val="24"/>
                <w:lang w:eastAsia="en-US"/>
              </w:rPr>
              <w:t xml:space="preserve">irectivei 9, pentru care a efectuat un studiu de tip „client misterios” și un sondaj în rândul consumatorilor pentru a evalua conformitatea cu </w:t>
            </w:r>
            <w:r w:rsidR="00AB4B37" w:rsidRPr="00384075">
              <w:rPr>
                <w:sz w:val="24"/>
                <w:szCs w:val="24"/>
                <w:lang w:eastAsia="en-US"/>
              </w:rPr>
              <w:t>D</w:t>
            </w:r>
            <w:r w:rsidRPr="00384075">
              <w:rPr>
                <w:sz w:val="24"/>
                <w:szCs w:val="24"/>
                <w:lang w:eastAsia="en-US"/>
              </w:rPr>
              <w:t xml:space="preserve">irectiva. Raportul a concluzionat că este necesar să se continue monitorizarea aplicării </w:t>
            </w:r>
            <w:r w:rsidR="00AB4B37" w:rsidRPr="00384075">
              <w:rPr>
                <w:sz w:val="24"/>
                <w:szCs w:val="24"/>
                <w:lang w:eastAsia="en-US"/>
              </w:rPr>
              <w:t>D</w:t>
            </w:r>
            <w:r w:rsidRPr="00384075">
              <w:rPr>
                <w:sz w:val="24"/>
                <w:szCs w:val="24"/>
                <w:lang w:eastAsia="en-US"/>
              </w:rPr>
              <w:t>irectivei.</w:t>
            </w:r>
          </w:p>
          <w:p w14:paraId="15627386" w14:textId="39BCF966" w:rsidR="00E3142B" w:rsidRPr="00384075" w:rsidRDefault="00E3142B" w:rsidP="00E3142B">
            <w:pPr>
              <w:spacing w:before="120" w:after="120"/>
              <w:jc w:val="both"/>
              <w:rPr>
                <w:sz w:val="24"/>
                <w:szCs w:val="24"/>
                <w:lang w:eastAsia="en-US"/>
              </w:rPr>
            </w:pPr>
            <w:r w:rsidRPr="00384075">
              <w:rPr>
                <w:sz w:val="24"/>
                <w:szCs w:val="24"/>
                <w:lang w:eastAsia="en-US"/>
              </w:rPr>
              <w:t xml:space="preserve">În 2020, Comisia a prezentat un alt raport privind punerea în aplicare a </w:t>
            </w:r>
            <w:r w:rsidR="00AB4B37" w:rsidRPr="00384075">
              <w:rPr>
                <w:sz w:val="24"/>
                <w:szCs w:val="24"/>
                <w:lang w:eastAsia="en-US"/>
              </w:rPr>
              <w:t>D</w:t>
            </w:r>
            <w:r w:rsidRPr="00384075">
              <w:rPr>
                <w:sz w:val="24"/>
                <w:szCs w:val="24"/>
                <w:lang w:eastAsia="en-US"/>
              </w:rPr>
              <w:t xml:space="preserve">irectivei 10, pentru a prezenta principalele rezultate ale evaluării pentru perioada 2018-2019, precum și lecțiile învățate din aplicarea </w:t>
            </w:r>
            <w:r w:rsidR="00AB4B37" w:rsidRPr="00384075">
              <w:rPr>
                <w:sz w:val="24"/>
                <w:szCs w:val="24"/>
                <w:lang w:eastAsia="en-US"/>
              </w:rPr>
              <w:t>D</w:t>
            </w:r>
            <w:r w:rsidRPr="00384075">
              <w:rPr>
                <w:sz w:val="24"/>
                <w:szCs w:val="24"/>
                <w:lang w:eastAsia="en-US"/>
              </w:rPr>
              <w:t xml:space="preserve">irectivei de la adoptarea acesteia. Raportul a subliniat faptul că obiectivele </w:t>
            </w:r>
            <w:r w:rsidR="00AB4B37" w:rsidRPr="00384075">
              <w:rPr>
                <w:sz w:val="24"/>
                <w:szCs w:val="24"/>
                <w:lang w:eastAsia="en-US"/>
              </w:rPr>
              <w:t>D</w:t>
            </w:r>
            <w:r w:rsidRPr="00384075">
              <w:rPr>
                <w:sz w:val="24"/>
                <w:szCs w:val="24"/>
                <w:lang w:eastAsia="en-US"/>
              </w:rPr>
              <w:t xml:space="preserve">irectivei din 2008 sunt încă relevante și că aceasta a fost parțial eficace cu privire la asigurarea unui nivel ridicat de protecție a consumatorilor și în realizarea unei piețe interne funcționale. Motivele pentru care </w:t>
            </w:r>
            <w:r w:rsidR="00494A06" w:rsidRPr="00384075">
              <w:rPr>
                <w:sz w:val="24"/>
                <w:szCs w:val="24"/>
                <w:lang w:eastAsia="en-US"/>
              </w:rPr>
              <w:t>D</w:t>
            </w:r>
            <w:r w:rsidRPr="00384075">
              <w:rPr>
                <w:sz w:val="24"/>
                <w:szCs w:val="24"/>
                <w:lang w:eastAsia="en-US"/>
              </w:rPr>
              <w:t xml:space="preserve">irectiva a fost doar parțial eficace sunt legate atât de </w:t>
            </w:r>
            <w:r w:rsidR="00494A06" w:rsidRPr="00384075">
              <w:rPr>
                <w:sz w:val="24"/>
                <w:szCs w:val="24"/>
                <w:lang w:eastAsia="en-US"/>
              </w:rPr>
              <w:t>D</w:t>
            </w:r>
            <w:r w:rsidRPr="00384075">
              <w:rPr>
                <w:sz w:val="24"/>
                <w:szCs w:val="24"/>
                <w:lang w:eastAsia="en-US"/>
              </w:rPr>
              <w:t xml:space="preserve">irectivă în sine (de exemplu, formularea imprecisă a anumitor articole), cât și de factori externi, precum aplicarea în practică și asigurarea aplicării în statele membre și aspecte ale pieței creditului de consum care nu fac obiectul </w:t>
            </w:r>
            <w:r w:rsidR="00494A06" w:rsidRPr="00384075">
              <w:rPr>
                <w:sz w:val="24"/>
                <w:szCs w:val="24"/>
                <w:lang w:eastAsia="en-US"/>
              </w:rPr>
              <w:t>D</w:t>
            </w:r>
            <w:r w:rsidRPr="00384075">
              <w:rPr>
                <w:sz w:val="24"/>
                <w:szCs w:val="24"/>
                <w:lang w:eastAsia="en-US"/>
              </w:rPr>
              <w:t xml:space="preserve">irectivei. Evaluarea a identificat o serie de deficiențe legate de domeniul de aplicare al </w:t>
            </w:r>
            <w:r w:rsidR="00494A06" w:rsidRPr="00384075">
              <w:rPr>
                <w:sz w:val="24"/>
                <w:szCs w:val="24"/>
                <w:lang w:eastAsia="en-US"/>
              </w:rPr>
              <w:t>D</w:t>
            </w:r>
            <w:r w:rsidRPr="00384075">
              <w:rPr>
                <w:sz w:val="24"/>
                <w:szCs w:val="24"/>
                <w:lang w:eastAsia="en-US"/>
              </w:rPr>
              <w:t>irectivei, definițiile și termenii utilizați în aceasta care sunt uneori neclari, obligațiile de informare neadaptate la mass-media digitală, lipsa de claritate a dispozițiilor privind evaluarea bonității, ceea ce duce la o protecție insuficientă a consumatorilor, precum și la diferențe în ceea ce privește punerea în aplicare.</w:t>
            </w:r>
          </w:p>
          <w:p w14:paraId="7A67AC9A" w14:textId="1F133359" w:rsidR="00E3142B" w:rsidRPr="00384075" w:rsidRDefault="00E3142B" w:rsidP="00E3142B">
            <w:pPr>
              <w:spacing w:before="120" w:after="120"/>
              <w:jc w:val="both"/>
              <w:rPr>
                <w:sz w:val="24"/>
                <w:szCs w:val="24"/>
                <w:lang w:eastAsia="en-US"/>
              </w:rPr>
            </w:pPr>
            <w:r w:rsidRPr="00384075">
              <w:rPr>
                <w:sz w:val="24"/>
                <w:szCs w:val="24"/>
                <w:lang w:eastAsia="en-US"/>
              </w:rPr>
              <w:t xml:space="preserve">Comisia a desfășurat o serie de activități de consultare cu privire la normele aplicabile creditelor de consum la nivelul UE. Părțile interesate au fost consultate pentru evaluarea impactului Directivei, ale cărei rezultate au fost publicate în 2020, precum și pentru evaluarea impactului efectuată pentru revizuirea </w:t>
            </w:r>
            <w:r w:rsidR="00494A06" w:rsidRPr="00384075">
              <w:rPr>
                <w:sz w:val="24"/>
                <w:szCs w:val="24"/>
                <w:lang w:eastAsia="en-US"/>
              </w:rPr>
              <w:t>D</w:t>
            </w:r>
            <w:r w:rsidRPr="00384075">
              <w:rPr>
                <w:sz w:val="24"/>
                <w:szCs w:val="24"/>
                <w:lang w:eastAsia="en-US"/>
              </w:rPr>
              <w:t>irectivei. În cadrul evaluării, au avut loc două consultări publice în plus față de alte forme de consultare (sondaje în rândul consumatorilor, interviuri și sondaje în rândul părților interesate, chestionare specifice trimise autorităților naționale, reuniuni bilaterale, ateliere, reuniuni ale grupurilor de experți dedicate statelor membre, consultarea grupului de utilizatori de servicii financiare, precum și discuții ad-hoc în cadrul summiturilor anuale dedicate consumatorilor).</w:t>
            </w:r>
          </w:p>
          <w:p w14:paraId="3AB4B527" w14:textId="77777777" w:rsidR="00D66EA6" w:rsidRPr="00384075" w:rsidRDefault="00D66EA6" w:rsidP="00E3142B">
            <w:pPr>
              <w:spacing w:before="120" w:after="120"/>
              <w:jc w:val="both"/>
              <w:rPr>
                <w:sz w:val="24"/>
                <w:szCs w:val="24"/>
                <w:lang w:eastAsia="en-US"/>
              </w:rPr>
            </w:pPr>
          </w:p>
          <w:p w14:paraId="7655788B" w14:textId="77777777" w:rsidR="00E3142B" w:rsidRPr="00384075" w:rsidRDefault="00E3142B" w:rsidP="00E3142B">
            <w:pPr>
              <w:spacing w:before="120" w:after="120"/>
              <w:jc w:val="both"/>
              <w:rPr>
                <w:sz w:val="24"/>
                <w:szCs w:val="24"/>
                <w:lang w:eastAsia="en-US"/>
              </w:rPr>
            </w:pPr>
          </w:p>
          <w:p w14:paraId="04247D3B" w14:textId="366D3E19" w:rsidR="00E3142B" w:rsidRPr="00384075" w:rsidRDefault="00E3142B" w:rsidP="00E3142B">
            <w:pPr>
              <w:spacing w:before="120" w:after="120"/>
              <w:jc w:val="both"/>
              <w:rPr>
                <w:sz w:val="24"/>
                <w:szCs w:val="24"/>
                <w:lang w:eastAsia="en-US"/>
              </w:rPr>
            </w:pPr>
            <w:r w:rsidRPr="00384075">
              <w:rPr>
                <w:sz w:val="24"/>
                <w:szCs w:val="24"/>
                <w:lang w:eastAsia="en-US"/>
              </w:rPr>
              <w:lastRenderedPageBreak/>
              <w:t xml:space="preserve">În martie 2021, Parlamentul European a organizat, de asemenea, o audiere cu privire la revizuirea </w:t>
            </w:r>
            <w:r w:rsidR="00494A06" w:rsidRPr="00384075">
              <w:rPr>
                <w:sz w:val="24"/>
                <w:szCs w:val="24"/>
                <w:lang w:eastAsia="en-US"/>
              </w:rPr>
              <w:t>D</w:t>
            </w:r>
            <w:r w:rsidRPr="00384075">
              <w:rPr>
                <w:sz w:val="24"/>
                <w:szCs w:val="24"/>
                <w:lang w:eastAsia="en-US"/>
              </w:rPr>
              <w:t>irectivei, iar Comitetul Economic și Social European a publicat în 2019 un raport de informare referitor la evaluarea Directivei privind creditul de consum.</w:t>
            </w:r>
          </w:p>
          <w:p w14:paraId="174BB062" w14:textId="17F40E5D" w:rsidR="00E3142B" w:rsidRPr="00384075" w:rsidRDefault="00E3142B" w:rsidP="00E3142B">
            <w:pPr>
              <w:spacing w:before="120" w:after="120"/>
              <w:jc w:val="both"/>
              <w:rPr>
                <w:sz w:val="24"/>
                <w:szCs w:val="24"/>
                <w:lang w:eastAsia="en-US"/>
              </w:rPr>
            </w:pPr>
            <w:r w:rsidRPr="00384075">
              <w:rPr>
                <w:sz w:val="24"/>
                <w:szCs w:val="24"/>
                <w:lang w:eastAsia="en-US"/>
              </w:rPr>
              <w:t>În februarie</w:t>
            </w:r>
            <w:r w:rsidR="00494A06" w:rsidRPr="00384075">
              <w:rPr>
                <w:sz w:val="24"/>
                <w:szCs w:val="24"/>
                <w:lang w:eastAsia="en-US"/>
              </w:rPr>
              <w:t xml:space="preserve"> </w:t>
            </w:r>
            <w:r w:rsidRPr="00384075">
              <w:rPr>
                <w:sz w:val="24"/>
                <w:szCs w:val="24"/>
                <w:lang w:eastAsia="en-US"/>
              </w:rPr>
              <w:t>-</w:t>
            </w:r>
            <w:r w:rsidR="00494A06" w:rsidRPr="00384075">
              <w:rPr>
                <w:sz w:val="24"/>
                <w:szCs w:val="24"/>
                <w:lang w:eastAsia="en-US"/>
              </w:rPr>
              <w:t xml:space="preserve"> </w:t>
            </w:r>
            <w:r w:rsidRPr="00384075">
              <w:rPr>
                <w:sz w:val="24"/>
                <w:szCs w:val="24"/>
                <w:lang w:eastAsia="en-US"/>
              </w:rPr>
              <w:t>martie 2021, un grup de autorități responsabile pentru cooperarea în materie de protecție a consumatorului (CPC) (membre ale rețelei CPC) a</w:t>
            </w:r>
            <w:r w:rsidR="00494A06" w:rsidRPr="00384075">
              <w:rPr>
                <w:sz w:val="24"/>
                <w:szCs w:val="24"/>
                <w:lang w:eastAsia="en-US"/>
              </w:rPr>
              <w:t>u</w:t>
            </w:r>
            <w:r w:rsidRPr="00384075">
              <w:rPr>
                <w:sz w:val="24"/>
                <w:szCs w:val="24"/>
                <w:lang w:eastAsia="en-US"/>
              </w:rPr>
              <w:t xml:space="preserve"> efectuat, de asemenea, o verificare coordonată a conformității publicității și a ofertelor online de a cumpăra produse de credit de consum.</w:t>
            </w:r>
          </w:p>
          <w:p w14:paraId="7F2362AB" w14:textId="5F6EA8BB" w:rsidR="00E3142B" w:rsidRPr="00384075" w:rsidRDefault="00E3142B" w:rsidP="00E3142B">
            <w:pPr>
              <w:spacing w:before="120" w:after="120"/>
              <w:jc w:val="both"/>
              <w:rPr>
                <w:sz w:val="24"/>
                <w:szCs w:val="24"/>
                <w:lang w:eastAsia="en-US"/>
              </w:rPr>
            </w:pPr>
            <w:r w:rsidRPr="00384075">
              <w:rPr>
                <w:sz w:val="24"/>
                <w:szCs w:val="24"/>
                <w:lang w:eastAsia="en-US"/>
              </w:rPr>
              <w:t>Procesul amplu de consultare a permis identificarea principalelor puncte de vedere ale părților interesate cu privire la aspectele-cheie. Feedback</w:t>
            </w:r>
            <w:r w:rsidR="0016705A" w:rsidRPr="00384075">
              <w:rPr>
                <w:sz w:val="24"/>
                <w:szCs w:val="24"/>
                <w:lang w:eastAsia="en-US"/>
              </w:rPr>
              <w:t>-</w:t>
            </w:r>
            <w:r w:rsidRPr="00384075">
              <w:rPr>
                <w:sz w:val="24"/>
                <w:szCs w:val="24"/>
                <w:lang w:eastAsia="en-US"/>
              </w:rPr>
              <w:t xml:space="preserve">ul primit din partea părților interesate a identificat digitalizarea pieței ca fiind principalul factor care trebuie luat în considerare în cadrul procesului de revizuire. Organizațiile de consumatori sunt în favoarea unei revizuiri extinse a </w:t>
            </w:r>
            <w:r w:rsidR="0016705A" w:rsidRPr="00384075">
              <w:rPr>
                <w:sz w:val="24"/>
                <w:szCs w:val="24"/>
                <w:lang w:eastAsia="en-US"/>
              </w:rPr>
              <w:t>D</w:t>
            </w:r>
            <w:r w:rsidRPr="00384075">
              <w:rPr>
                <w:sz w:val="24"/>
                <w:szCs w:val="24"/>
                <w:lang w:eastAsia="en-US"/>
              </w:rPr>
              <w:t xml:space="preserve">irectivei, pentru a aborda mai multe probleme identificate în cadrul revizuirii, legate de domeniul de aplicare inadecvat al </w:t>
            </w:r>
            <w:r w:rsidR="0016705A" w:rsidRPr="00384075">
              <w:rPr>
                <w:sz w:val="24"/>
                <w:szCs w:val="24"/>
                <w:lang w:eastAsia="en-US"/>
              </w:rPr>
              <w:t>D</w:t>
            </w:r>
            <w:r w:rsidRPr="00384075">
              <w:rPr>
                <w:sz w:val="24"/>
                <w:szCs w:val="24"/>
                <w:lang w:eastAsia="en-US"/>
              </w:rPr>
              <w:t xml:space="preserve">irectivei, practicile iresponsabile de acordare a creditelor, supraîncărcarea cu informații, utilizarea datelor și supraîndatorarea, în special în contextul pandemiei de COVID-19. Respondenții din cadrul tuturor grupurilor de părți interesate și din statele membre sunt de acord că informațiile pe care consumatorii le primesc în etapele de publicitate și precontractuale trebuie să fie simplificate și să reflecte utilizarea tot mai frecventă a dispozitivelor digitale, pentru a-și atinge obiectivul de protecție a consumatorilor. Reprezentanții întreprinderilor sunt în favoarea stabilității normative și a intervențiilor fără caracter de reglementare sau a unor modificări specifice ale </w:t>
            </w:r>
            <w:r w:rsidR="00AB0C16" w:rsidRPr="00384075">
              <w:rPr>
                <w:sz w:val="24"/>
                <w:szCs w:val="24"/>
                <w:lang w:eastAsia="en-US"/>
              </w:rPr>
              <w:t>D</w:t>
            </w:r>
            <w:r w:rsidRPr="00384075">
              <w:rPr>
                <w:sz w:val="24"/>
                <w:szCs w:val="24"/>
                <w:lang w:eastAsia="en-US"/>
              </w:rPr>
              <w:t>irectivei pentru a o adapta la evoluțiile din domeniul digitalizării. Acestea propun simplificarea cerințelor referitoare la furnizarea informațiilor, menținând, în același timp, suficientă flexibilitate în ceea ce privește procesul de evaluare a bonității. În general, autoritățile naționale sprijină o modificare legislativă. Mai multe state membre par să fie în favoarea unor modificări legislative ample pentru a soluționa problemele identificate, în timp ce altele pledează pentru o abordare mai bine direcționată. Majoritatea autorităților naționale recunosc că armonizarea normelor ar sprijini dezvoltarea pieței transfrontaliere. Toate părțile interesate apreciază beneficiile serviciilor de consiliere în materie de îndatorare pentru consumatorii și creditorii vulnerabili, deoarece aceste servicii le permit creditorilor să își recupereze datoriile în mod eficace.</w:t>
            </w:r>
          </w:p>
          <w:p w14:paraId="2F08C82B" w14:textId="08D7D1FE" w:rsidR="00E3142B" w:rsidRPr="00384075" w:rsidRDefault="00E3142B" w:rsidP="00E3142B">
            <w:pPr>
              <w:spacing w:before="120" w:after="120"/>
              <w:jc w:val="both"/>
              <w:rPr>
                <w:sz w:val="24"/>
                <w:szCs w:val="24"/>
                <w:lang w:eastAsia="en-US"/>
              </w:rPr>
            </w:pPr>
            <w:r w:rsidRPr="00384075">
              <w:rPr>
                <w:sz w:val="24"/>
                <w:szCs w:val="24"/>
                <w:lang w:eastAsia="en-US"/>
              </w:rPr>
              <w:t xml:space="preserve">Comisia s-a bazat, de asemenea, pe o serie de studii și rapoarte privind aspecte legate de practicile responsabile de acordare și luare de credite. Printre acestea se numără studiul de sprijinire a evaluării impactului </w:t>
            </w:r>
            <w:r w:rsidR="00AB0C16" w:rsidRPr="00384075">
              <w:rPr>
                <w:sz w:val="24"/>
                <w:szCs w:val="24"/>
                <w:lang w:eastAsia="en-US"/>
              </w:rPr>
              <w:t>D</w:t>
            </w:r>
            <w:r w:rsidRPr="00384075">
              <w:rPr>
                <w:sz w:val="24"/>
                <w:szCs w:val="24"/>
                <w:lang w:eastAsia="en-US"/>
              </w:rPr>
              <w:t>irectivei (2021)</w:t>
            </w:r>
            <w:r w:rsidR="00167885" w:rsidRPr="00384075">
              <w:rPr>
                <w:sz w:val="24"/>
                <w:szCs w:val="24"/>
                <w:lang w:eastAsia="en-US"/>
              </w:rPr>
              <w:t xml:space="preserve">, </w:t>
            </w:r>
            <w:r w:rsidRPr="00384075">
              <w:rPr>
                <w:sz w:val="24"/>
                <w:szCs w:val="24"/>
                <w:lang w:eastAsia="en-US"/>
              </w:rPr>
              <w:t>studiul comportamental privind digitalizarea marketingului și a vânzării la distanță a serviciilor financiare cu amănuntul (2019)</w:t>
            </w:r>
            <w:r w:rsidR="00167885" w:rsidRPr="00384075">
              <w:rPr>
                <w:sz w:val="24"/>
                <w:szCs w:val="24"/>
                <w:lang w:eastAsia="en-US"/>
              </w:rPr>
              <w:t>,</w:t>
            </w:r>
            <w:r w:rsidRPr="00384075">
              <w:rPr>
                <w:sz w:val="24"/>
                <w:szCs w:val="24"/>
                <w:lang w:eastAsia="en-US"/>
              </w:rPr>
              <w:t xml:space="preserve"> studiul privind măsurarea prejudiciilor aduse consumatorilor din Uniunea Europeană (2017) și studiul privind supraîndatorarea gospodăriilor europene (2013).</w:t>
            </w:r>
          </w:p>
          <w:p w14:paraId="009D4152" w14:textId="0E35799D" w:rsidR="00E3142B" w:rsidRPr="00384075" w:rsidRDefault="00E3142B" w:rsidP="0050365C">
            <w:pPr>
              <w:spacing w:before="120" w:after="120"/>
              <w:jc w:val="both"/>
              <w:rPr>
                <w:sz w:val="24"/>
                <w:szCs w:val="24"/>
                <w:lang w:eastAsia="en-US"/>
              </w:rPr>
            </w:pPr>
            <w:r w:rsidRPr="00384075">
              <w:rPr>
                <w:sz w:val="24"/>
                <w:szCs w:val="24"/>
                <w:lang w:eastAsia="en-US"/>
              </w:rPr>
              <w:t>Comisia a efectuat, de asemenea, o cartografiere a abordărilor naționale privind evaluarea bonității în temeiul Directivei privind creditul de consum în contextul Planului de acțiune privind serviciile financiare de consum din 2017, în cooperare cu autoritățile statelor membre, pe care l-a publicat în 2018.</w:t>
            </w:r>
          </w:p>
          <w:p w14:paraId="4C10D499" w14:textId="4B6306CD" w:rsidR="00B06AC8" w:rsidRPr="00384075" w:rsidRDefault="00B06AC8" w:rsidP="00B06AC8">
            <w:pPr>
              <w:spacing w:before="120" w:after="120"/>
              <w:jc w:val="both"/>
              <w:rPr>
                <w:sz w:val="24"/>
                <w:szCs w:val="24"/>
                <w:lang w:eastAsia="en-US"/>
              </w:rPr>
            </w:pPr>
            <w:r w:rsidRPr="00384075">
              <w:rPr>
                <w:sz w:val="24"/>
                <w:szCs w:val="24"/>
                <w:lang w:eastAsia="en-US"/>
              </w:rPr>
              <w:t xml:space="preserve">Obiectivele generale ale revizuirii Directivei  2008/48/CE au fost de a reduce prejudiciile aduse consumatorilor și riscurile de contractare de credite pe o piață în schimbare, de a facilita furnizarea transfrontalieră de credite de consum și de a stimula competitivitatea pieței interne. Toate aceste obiective sunt în conformitate cu obiectivele inițiale ale </w:t>
            </w:r>
            <w:r w:rsidR="00AB0C16" w:rsidRPr="00384075">
              <w:rPr>
                <w:sz w:val="24"/>
                <w:szCs w:val="24"/>
                <w:lang w:eastAsia="en-US"/>
              </w:rPr>
              <w:t>D</w:t>
            </w:r>
            <w:r w:rsidRPr="00384075">
              <w:rPr>
                <w:sz w:val="24"/>
                <w:szCs w:val="24"/>
                <w:lang w:eastAsia="en-US"/>
              </w:rPr>
              <w:t>irectivei.</w:t>
            </w:r>
          </w:p>
          <w:p w14:paraId="3CB8DD2E" w14:textId="2113A628" w:rsidR="00B06AC8" w:rsidRPr="00384075" w:rsidRDefault="00B06AC8" w:rsidP="00B06AC8">
            <w:pPr>
              <w:spacing w:before="120" w:after="120"/>
              <w:jc w:val="both"/>
              <w:rPr>
                <w:sz w:val="24"/>
                <w:szCs w:val="24"/>
                <w:lang w:eastAsia="en-US"/>
              </w:rPr>
            </w:pPr>
            <w:r w:rsidRPr="00384075">
              <w:rPr>
                <w:sz w:val="24"/>
                <w:szCs w:val="24"/>
                <w:lang w:eastAsia="en-US"/>
              </w:rPr>
              <w:t xml:space="preserve">Opțiunile evaluate pentru atingerea obiectivelor au fost: un scenariu de menținere a politicilor actuale, o modificare specifică a </w:t>
            </w:r>
            <w:r w:rsidR="00AB0C16" w:rsidRPr="00384075">
              <w:rPr>
                <w:sz w:val="24"/>
                <w:szCs w:val="24"/>
                <w:lang w:eastAsia="en-US"/>
              </w:rPr>
              <w:t>D</w:t>
            </w:r>
            <w:r w:rsidRPr="00384075">
              <w:rPr>
                <w:sz w:val="24"/>
                <w:szCs w:val="24"/>
                <w:lang w:eastAsia="en-US"/>
              </w:rPr>
              <w:t xml:space="preserve">irectivei, axată pe clarificarea și eficientizarea dispozițiilor sale actuale, o modificare amplă a </w:t>
            </w:r>
            <w:r w:rsidR="00AB0C16" w:rsidRPr="00384075">
              <w:rPr>
                <w:sz w:val="24"/>
                <w:szCs w:val="24"/>
                <w:lang w:eastAsia="en-US"/>
              </w:rPr>
              <w:t>D</w:t>
            </w:r>
            <w:r w:rsidRPr="00384075">
              <w:rPr>
                <w:sz w:val="24"/>
                <w:szCs w:val="24"/>
                <w:lang w:eastAsia="en-US"/>
              </w:rPr>
              <w:t>irectivei pentru a include noi dispoziții în conformitate cu dreptul UE actual sau pentru a include noi dispoziții care depășesc dreptul UE actual. Pe baza</w:t>
            </w:r>
            <w:r w:rsidR="00203007" w:rsidRPr="00384075">
              <w:rPr>
                <w:sz w:val="24"/>
                <w:szCs w:val="24"/>
                <w:lang w:eastAsia="en-US"/>
              </w:rPr>
              <w:t xml:space="preserve"> </w:t>
            </w:r>
            <w:r w:rsidRPr="00384075">
              <w:rPr>
                <w:sz w:val="24"/>
                <w:szCs w:val="24"/>
                <w:lang w:eastAsia="en-US"/>
              </w:rPr>
              <w:t>evaluării impactului, a fost identificată necesitatea luării măsurilor eficiente din punctul de vedere al costurilor luate din alte opțiuni.</w:t>
            </w:r>
          </w:p>
          <w:p w14:paraId="5D68E094" w14:textId="76CB2B37" w:rsidR="00B06AC8" w:rsidRPr="00384075" w:rsidRDefault="00B06AC8" w:rsidP="00B06AC8">
            <w:pPr>
              <w:spacing w:before="120" w:after="120"/>
              <w:jc w:val="both"/>
              <w:rPr>
                <w:sz w:val="24"/>
                <w:szCs w:val="24"/>
                <w:lang w:eastAsia="en-US"/>
              </w:rPr>
            </w:pPr>
            <w:r w:rsidRPr="00384075">
              <w:rPr>
                <w:sz w:val="24"/>
                <w:szCs w:val="24"/>
                <w:lang w:eastAsia="en-US"/>
              </w:rPr>
              <w:t>Comisia a co</w:t>
            </w:r>
            <w:r w:rsidR="00AB0C16" w:rsidRPr="00384075">
              <w:rPr>
                <w:sz w:val="24"/>
                <w:szCs w:val="24"/>
                <w:lang w:eastAsia="en-US"/>
              </w:rPr>
              <w:t>nsi</w:t>
            </w:r>
            <w:r w:rsidRPr="00384075">
              <w:rPr>
                <w:sz w:val="24"/>
                <w:szCs w:val="24"/>
                <w:lang w:eastAsia="en-US"/>
              </w:rPr>
              <w:t xml:space="preserve">derat necesară modificarea </w:t>
            </w:r>
            <w:r w:rsidR="00AB0C16" w:rsidRPr="00384075">
              <w:rPr>
                <w:sz w:val="24"/>
                <w:szCs w:val="24"/>
                <w:lang w:eastAsia="en-US"/>
              </w:rPr>
              <w:t>D</w:t>
            </w:r>
            <w:r w:rsidRPr="00384075">
              <w:rPr>
                <w:sz w:val="24"/>
                <w:szCs w:val="24"/>
                <w:lang w:eastAsia="en-US"/>
              </w:rPr>
              <w:t xml:space="preserve">irectivei pentru a include noi dispoziții, în conformitate cu acquis-ul UE existent. Prin intermediul unui scurt rezumat al principalelor elemente ale opțiunii preferate, au fost incluse următoarele măsuri: extinderea domeniului de aplicare al </w:t>
            </w:r>
            <w:r w:rsidR="00AB0C16" w:rsidRPr="00384075">
              <w:rPr>
                <w:sz w:val="24"/>
                <w:szCs w:val="24"/>
                <w:lang w:eastAsia="en-US"/>
              </w:rPr>
              <w:t>D</w:t>
            </w:r>
            <w:r w:rsidRPr="00384075">
              <w:rPr>
                <w:sz w:val="24"/>
                <w:szCs w:val="24"/>
                <w:lang w:eastAsia="en-US"/>
              </w:rPr>
              <w:t xml:space="preserve">irectivei pentru a include credite cu o valoare mai mică de 200 EUR, credite fără dobândă, toate facilitățile de tip „descoperit de cont” și toate contractele de leasing, precum și contractele de credit încheiate prin intermediul platformelor de creditare de la persoană la persoană; modificarea definiției mai multor termeni-cheie; furnizarea de explicații adecvate consumatorilor; reducerea volumului de informații care trebuie furnizate </w:t>
            </w:r>
            <w:r w:rsidRPr="00384075">
              <w:rPr>
                <w:sz w:val="24"/>
                <w:szCs w:val="24"/>
                <w:lang w:eastAsia="en-US"/>
              </w:rPr>
              <w:lastRenderedPageBreak/>
              <w:t>consumatorilor în cadrul materialelor publicitare, care să se axeze pe informațiile esențiale atunci când sunt furnizate prin intermediul anumitor canale; mai multe detalii cu privire la modul și momentul în care informațiile precontractuale sunt prezentate consumatorilor pentru a se asigura că acestea sunt furnizate într-un mod mai eficace; interzicerea casetelor bifate în prealabil; interzicerea practicilor de legare; standarde pentru serviciile de consiliere; interzicerea vânzării nesolicitate de produse de credit; introducerea obligației pentru statele membre de a stabili plafoane pentru ratele dobânzii, dobânda anuală efectivă sau costul total al creditului; stabilirea de norme de conduită profesională și a obligației pentru furnizorii de credite și intermediarii de credit de a se asigura că membrii personalului lor dispun de un set adecvat de competențe și cunoștințe; indicarea faptului că evaluările bonității ar trebui efectuate pe baza unor informații necesare, suficiente și proporționale privind circumstanțele financiare și economice; dispoziții privind utilizarea unor surse alternative de date pentru evaluarea bonității care să reflecte principiile prevăzute în Regulamentul (UE) 2016/679 (Regulamentul general privind protecția datelor); obligația statelor membre de a promova educația în domeniul financiar; obligația statelor membre de a adopta măsuri pentru a încuraja creditorii să exercite indulgență rezonabilă; sporirea disponibilității serviciilor de consiliere în materie de îndatorare; îmbunătățirea condițiilor de aplicare prin introducerea unui articol privind autoritățile competente; în ceea ce privește sancțiunile, includerea regulii de 4 % (amenda maximă), astfel cum este prevăzută în Directiva (UE) 2019/2161 (Directiva Omnibus), pentru încălcările transfrontaliere pe scară largă.</w:t>
            </w:r>
          </w:p>
          <w:p w14:paraId="735CBE5E" w14:textId="463E12E3" w:rsidR="00B06AC8" w:rsidRPr="00384075" w:rsidRDefault="00B06AC8" w:rsidP="0050365C">
            <w:pPr>
              <w:spacing w:before="120" w:after="120"/>
              <w:jc w:val="both"/>
              <w:rPr>
                <w:sz w:val="24"/>
                <w:szCs w:val="24"/>
                <w:lang w:eastAsia="en-US"/>
              </w:rPr>
            </w:pPr>
            <w:r w:rsidRPr="00384075">
              <w:rPr>
                <w:sz w:val="24"/>
                <w:szCs w:val="24"/>
                <w:lang w:eastAsia="en-US"/>
              </w:rPr>
              <w:t>Opțiunea preferată a fost evaluată ca fiind foarte eficace în ceea ce privește atingerea obiectivelor inițiativei, asigurând un nivel ridicat de coerență cu legislația UE și de eficiență în ceea ce privește impacturile economice și sociale evaluate. S-a urmărit ca impactul să fie unul pozitiv asupra protecției consumatorilor, care va reduce prejudiciile, va consolida încrederea și va îmbunătăți incluziunea socială. Se urmărește consolidarea condițiilor de concurență echitabile în interiorul statelor membre și între acestea, prin reducerea fragmentării cadrului juridic actual. Măsurile cuantificate din cadrul opțiunii preferate ar implica o reducere a prejudiciului adus consumatorilor cu aproximativ 2 miliarde EUR în perioada 2021-2030. În plus față de aceste măsuri cuantificate, această opțiune implică beneficii ale altor măsuri, cum ar fi plafoanele pentru dobânda anuală efectivă/ratele dobânzii, care sunt considerate a fi foarte benefice pentru consumatori și pentru societate, dar care nu au putut fi cuantificate, și care fac ca opțiunea preferată să fie cu atât mai viabilă. Impactul asupra societății este considerat, de asemenea, unul pozitiv datorită măsurilor de prevenire și de abordare a supraîndatorării, îmbunătățind astfel incluziunea socială. Printre aceste măsuri se numără consolidarea evaluărilor bonității, măsurile de restructurare datorată dificultăților financiare și serviciile de consiliere în materie de îndatorare. Pentru fiecare 1 EUR cheltuit pentru consiliere în materie de îndatorare, se preconizează că aceasta va oferi beneficii echivalente cuprinse între 1,4 și 5,3 EUR, în principal prin evitarea costurilor pentru societate pe care le implică supraîndatorarea.</w:t>
            </w:r>
          </w:p>
          <w:p w14:paraId="695F3AE7" w14:textId="1D6E6D62" w:rsidR="00B06AC8" w:rsidRPr="00384075" w:rsidRDefault="00B06AC8" w:rsidP="0050365C">
            <w:pPr>
              <w:spacing w:before="120" w:after="120"/>
              <w:jc w:val="both"/>
              <w:rPr>
                <w:sz w:val="24"/>
                <w:szCs w:val="24"/>
                <w:lang w:eastAsia="en-US"/>
              </w:rPr>
            </w:pPr>
            <w:r w:rsidRPr="00384075">
              <w:rPr>
                <w:sz w:val="24"/>
                <w:szCs w:val="24"/>
                <w:lang w:eastAsia="en-US"/>
              </w:rPr>
              <w:t xml:space="preserve">Potrivit instrumentului de prezentare al Directivei (UE) 2023/2225 furnizorii de credite vor suporta cea mai mare parte a costurilor asociate cu punerea în aplicare a noii </w:t>
            </w:r>
            <w:r w:rsidR="00DB0167" w:rsidRPr="00384075">
              <w:rPr>
                <w:sz w:val="24"/>
                <w:szCs w:val="24"/>
                <w:lang w:eastAsia="en-US"/>
              </w:rPr>
              <w:t>D</w:t>
            </w:r>
            <w:r w:rsidRPr="00384075">
              <w:rPr>
                <w:sz w:val="24"/>
                <w:szCs w:val="24"/>
                <w:lang w:eastAsia="en-US"/>
              </w:rPr>
              <w:t xml:space="preserve">irective. Unele măsuri (de exemplu, aplicarea de plafoane pentru rata dobânzii, pentru dobânda anuală efectivă sau pentru costul total al creditului) ar fi mai costisitoare pentru furnizorii care oferă în prezent produse care nu intră sub incidența </w:t>
            </w:r>
            <w:r w:rsidR="00DB0167" w:rsidRPr="00384075">
              <w:rPr>
                <w:sz w:val="24"/>
                <w:szCs w:val="24"/>
                <w:lang w:eastAsia="en-US"/>
              </w:rPr>
              <w:t>D</w:t>
            </w:r>
            <w:r w:rsidRPr="00384075">
              <w:rPr>
                <w:sz w:val="24"/>
                <w:szCs w:val="24"/>
                <w:lang w:eastAsia="en-US"/>
              </w:rPr>
              <w:t>irectivei. Costul măsurilor cuantificate pentru bănci este estimat la o valoare cuprinsă între 1,4 și 1,5 miliarde EUR. Se preconizează un transfer al costurilor către consumatori (chiar dacă nu a fost posibil să se stabilească în ce măsură se va realiza acest transfer).</w:t>
            </w:r>
          </w:p>
          <w:p w14:paraId="523D1D02" w14:textId="77777777" w:rsidR="007A515D" w:rsidRPr="00384075" w:rsidRDefault="007A515D" w:rsidP="0050365C">
            <w:pPr>
              <w:spacing w:before="120" w:after="120"/>
              <w:jc w:val="both"/>
              <w:rPr>
                <w:sz w:val="24"/>
                <w:szCs w:val="24"/>
              </w:rPr>
            </w:pPr>
            <w:r w:rsidRPr="00384075">
              <w:rPr>
                <w:sz w:val="24"/>
                <w:szCs w:val="24"/>
              </w:rPr>
              <w:t>Directiva (UE) 2023/2225 a Parlamentului European și a Consiliului stabilește normele Uniunii Europene (UE) privind contractele de credit de consum.</w:t>
            </w:r>
          </w:p>
          <w:p w14:paraId="0D8EBBA2" w14:textId="530CFAB1" w:rsidR="00766463" w:rsidRPr="00384075" w:rsidRDefault="00766463" w:rsidP="0050365C">
            <w:pPr>
              <w:spacing w:before="120" w:after="120"/>
              <w:jc w:val="both"/>
              <w:rPr>
                <w:sz w:val="24"/>
                <w:szCs w:val="24"/>
              </w:rPr>
            </w:pPr>
            <w:r w:rsidRPr="00384075">
              <w:rPr>
                <w:sz w:val="24"/>
                <w:szCs w:val="24"/>
              </w:rPr>
              <w:t xml:space="preserve">Prezenta </w:t>
            </w:r>
            <w:r w:rsidR="00D66EA6" w:rsidRPr="00384075">
              <w:rPr>
                <w:sz w:val="24"/>
                <w:szCs w:val="24"/>
              </w:rPr>
              <w:t>Ordonanță de urgență</w:t>
            </w:r>
            <w:r w:rsidRPr="00384075">
              <w:rPr>
                <w:sz w:val="24"/>
                <w:szCs w:val="24"/>
              </w:rPr>
              <w:t xml:space="preserve"> are ca obiect transpunerea </w:t>
            </w:r>
            <w:r w:rsidR="004A2FC0" w:rsidRPr="00384075">
              <w:rPr>
                <w:sz w:val="24"/>
                <w:szCs w:val="24"/>
              </w:rPr>
              <w:t>D</w:t>
            </w:r>
            <w:r w:rsidRPr="00384075">
              <w:rPr>
                <w:sz w:val="24"/>
                <w:szCs w:val="24"/>
              </w:rPr>
              <w:t xml:space="preserve">irectivei europene referitoare la reglementarea creditelor de consum, în vederea creării unui cadru juridic armonizat la nivelul Uniunii Europene. Obiectivul principal al acestei </w:t>
            </w:r>
            <w:r w:rsidR="004A2FC0" w:rsidRPr="00384075">
              <w:rPr>
                <w:sz w:val="24"/>
                <w:szCs w:val="24"/>
              </w:rPr>
              <w:t>D</w:t>
            </w:r>
            <w:r w:rsidRPr="00384075">
              <w:rPr>
                <w:sz w:val="24"/>
                <w:szCs w:val="24"/>
              </w:rPr>
              <w:t>irective este de a asigura un nivel ridicat de protecție a consumatorilor și de a sprijini buna funcționare a pieței interne prin reguli clare, echitabile și transparente aplicabile în domeniul creditării de consum.</w:t>
            </w:r>
          </w:p>
          <w:p w14:paraId="37C0EA87" w14:textId="77777777" w:rsidR="00766463" w:rsidRPr="00384075" w:rsidRDefault="00766463" w:rsidP="0050365C">
            <w:pPr>
              <w:spacing w:before="120" w:after="120"/>
              <w:jc w:val="both"/>
              <w:rPr>
                <w:sz w:val="24"/>
                <w:szCs w:val="24"/>
              </w:rPr>
            </w:pPr>
            <w:r w:rsidRPr="00384075">
              <w:rPr>
                <w:sz w:val="24"/>
                <w:szCs w:val="24"/>
              </w:rPr>
              <w:t xml:space="preserve">Directiva își propune să răspundă noilor realități ale pieței financiare, marcate de digitalizare, dezvoltarea sistemelor de tip „buy now, pay later” și mobilitatea crescută a consumatorilor. Totodată, aceasta urmărește </w:t>
            </w:r>
            <w:r w:rsidRPr="00384075">
              <w:rPr>
                <w:sz w:val="24"/>
                <w:szCs w:val="24"/>
              </w:rPr>
              <w:lastRenderedPageBreak/>
              <w:t>să prevină riscurile asociate supraîndatorării, să sporească încrederea consumatorilor în instituțiile financiare și să protejeze interesele acestora în relațiile contractuale cu creditorii.</w:t>
            </w:r>
          </w:p>
          <w:p w14:paraId="7EF20B1D" w14:textId="77777777" w:rsidR="00CC12DF" w:rsidRPr="00384075" w:rsidRDefault="00FE02E6" w:rsidP="0050365C">
            <w:pPr>
              <w:spacing w:before="120" w:after="120"/>
              <w:jc w:val="both"/>
              <w:rPr>
                <w:sz w:val="24"/>
                <w:szCs w:val="24"/>
              </w:rPr>
            </w:pPr>
            <w:r w:rsidRPr="00384075">
              <w:rPr>
                <w:sz w:val="24"/>
                <w:szCs w:val="24"/>
              </w:rPr>
              <w:t>Directiva își propune e</w:t>
            </w:r>
            <w:r w:rsidR="00CC12DF" w:rsidRPr="00384075">
              <w:rPr>
                <w:sz w:val="24"/>
                <w:szCs w:val="24"/>
              </w:rPr>
              <w:t>xtinderea cadrului normativ privind contractele de credit de consum</w:t>
            </w:r>
            <w:r w:rsidRPr="00384075">
              <w:rPr>
                <w:sz w:val="24"/>
                <w:szCs w:val="24"/>
              </w:rPr>
              <w:t>.</w:t>
            </w:r>
          </w:p>
          <w:p w14:paraId="26A16214" w14:textId="232860CF" w:rsidR="00CC12DF" w:rsidRPr="00384075" w:rsidRDefault="00FE02E6" w:rsidP="0050365C">
            <w:pPr>
              <w:spacing w:before="120" w:after="120"/>
              <w:jc w:val="both"/>
              <w:rPr>
                <w:sz w:val="24"/>
                <w:szCs w:val="24"/>
              </w:rPr>
            </w:pPr>
            <w:r w:rsidRPr="00384075">
              <w:rPr>
                <w:sz w:val="24"/>
                <w:szCs w:val="24"/>
              </w:rPr>
              <w:t xml:space="preserve">Proiectul de </w:t>
            </w:r>
            <w:r w:rsidR="00D66EA6" w:rsidRPr="00384075">
              <w:rPr>
                <w:sz w:val="24"/>
                <w:szCs w:val="24"/>
              </w:rPr>
              <w:t>Ordonanță de urgență</w:t>
            </w:r>
            <w:r w:rsidRPr="00384075">
              <w:rPr>
                <w:sz w:val="24"/>
                <w:szCs w:val="24"/>
              </w:rPr>
              <w:t xml:space="preserve"> stabilește i</w:t>
            </w:r>
            <w:r w:rsidR="00CC12DF" w:rsidRPr="00384075">
              <w:rPr>
                <w:sz w:val="24"/>
                <w:szCs w:val="24"/>
              </w:rPr>
              <w:t>ntroducerea unui set de norme detaliate pentru contractele de credit de consum, care reglementează relația între creditori și consumatori.</w:t>
            </w:r>
          </w:p>
          <w:p w14:paraId="183C6D90" w14:textId="0389B864" w:rsidR="00FE02E6" w:rsidRPr="00384075" w:rsidRDefault="00FE02E6" w:rsidP="0050365C">
            <w:pPr>
              <w:spacing w:before="120" w:after="120"/>
              <w:jc w:val="both"/>
              <w:rPr>
                <w:sz w:val="24"/>
                <w:szCs w:val="24"/>
                <w:lang w:val="en-US"/>
              </w:rPr>
            </w:pPr>
            <w:r w:rsidRPr="00384075">
              <w:rPr>
                <w:sz w:val="24"/>
                <w:szCs w:val="24"/>
              </w:rPr>
              <w:t xml:space="preserve">Proiectul de </w:t>
            </w:r>
            <w:r w:rsidR="00D66EA6" w:rsidRPr="00384075">
              <w:rPr>
                <w:sz w:val="24"/>
                <w:szCs w:val="24"/>
              </w:rPr>
              <w:t>Ordonanță de urgență</w:t>
            </w:r>
            <w:r w:rsidRPr="00384075">
              <w:rPr>
                <w:sz w:val="24"/>
                <w:szCs w:val="24"/>
              </w:rPr>
              <w:t xml:space="preserve"> </w:t>
            </w:r>
            <w:r w:rsidR="00ED15DE" w:rsidRPr="00384075">
              <w:rPr>
                <w:sz w:val="24"/>
                <w:szCs w:val="24"/>
              </w:rPr>
              <w:t xml:space="preserve">stipulează </w:t>
            </w:r>
            <w:r w:rsidRPr="00384075">
              <w:rPr>
                <w:sz w:val="24"/>
                <w:szCs w:val="24"/>
              </w:rPr>
              <w:t>de aseme</w:t>
            </w:r>
            <w:r w:rsidR="00753090" w:rsidRPr="00384075">
              <w:rPr>
                <w:sz w:val="24"/>
                <w:szCs w:val="24"/>
              </w:rPr>
              <w:t>n</w:t>
            </w:r>
            <w:r w:rsidRPr="00384075">
              <w:rPr>
                <w:sz w:val="24"/>
                <w:szCs w:val="24"/>
              </w:rPr>
              <w:t>ea și domeniile ce nu intră sub inciden</w:t>
            </w:r>
            <w:r w:rsidR="00ED15DE" w:rsidRPr="00384075">
              <w:rPr>
                <w:sz w:val="24"/>
                <w:szCs w:val="24"/>
              </w:rPr>
              <w:t>ț</w:t>
            </w:r>
            <w:r w:rsidRPr="00384075">
              <w:rPr>
                <w:sz w:val="24"/>
                <w:szCs w:val="24"/>
              </w:rPr>
              <w:t>a acestuia, respectiv</w:t>
            </w:r>
            <w:r w:rsidRPr="00384075">
              <w:rPr>
                <w:sz w:val="24"/>
                <w:szCs w:val="24"/>
                <w:lang w:val="en-US"/>
              </w:rPr>
              <w:t>:</w:t>
            </w:r>
          </w:p>
          <w:p w14:paraId="6143EE0D" w14:textId="77777777" w:rsidR="00FE02E6" w:rsidRPr="00384075" w:rsidRDefault="00FE02E6" w:rsidP="0050365C">
            <w:pPr>
              <w:spacing w:before="120" w:after="120"/>
              <w:jc w:val="both"/>
              <w:rPr>
                <w:sz w:val="24"/>
                <w:szCs w:val="24"/>
              </w:rPr>
            </w:pPr>
            <w:r w:rsidRPr="00384075">
              <w:rPr>
                <w:sz w:val="24"/>
                <w:szCs w:val="24"/>
              </w:rPr>
              <w:t xml:space="preserve"> •</w:t>
            </w:r>
            <w:r w:rsidRPr="00384075">
              <w:rPr>
                <w:sz w:val="24"/>
                <w:szCs w:val="24"/>
              </w:rPr>
              <w:tab/>
              <w:t>contracte de credit garantate printr-o ipotecă sau o altă garanție comparabilă asupra unui bun imobil;</w:t>
            </w:r>
          </w:p>
          <w:p w14:paraId="0610402B" w14:textId="77777777" w:rsidR="00FE02E6" w:rsidRPr="00384075" w:rsidRDefault="00FE02E6" w:rsidP="0050365C">
            <w:pPr>
              <w:spacing w:before="120" w:after="120"/>
              <w:jc w:val="both"/>
              <w:rPr>
                <w:sz w:val="24"/>
                <w:szCs w:val="24"/>
              </w:rPr>
            </w:pPr>
            <w:r w:rsidRPr="00384075">
              <w:rPr>
                <w:sz w:val="24"/>
                <w:szCs w:val="24"/>
              </w:rPr>
              <w:t>•</w:t>
            </w:r>
            <w:r w:rsidRPr="00384075">
              <w:rPr>
                <w:sz w:val="24"/>
                <w:szCs w:val="24"/>
              </w:rPr>
              <w:tab/>
              <w:t>credite de peste 100 000 EUR</w:t>
            </w:r>
            <w:r w:rsidR="000C4EAF" w:rsidRPr="00384075">
              <w:rPr>
                <w:sz w:val="24"/>
                <w:szCs w:val="24"/>
              </w:rPr>
              <w:t>, cu excepția acelora care nu sunt garantate nici prin ipotecă, nici printr-o altă garanție comparabilă utilizată în mod curent într-un stat membru având ca obiect bunuri imobile sau printr-un drept asupra bunurilor imobile, în cazul în care respectivele contracte de credit sunt încheiate în scopul renovării de bunuri imobile rezidențiale</w:t>
            </w:r>
            <w:r w:rsidRPr="00384075">
              <w:rPr>
                <w:sz w:val="24"/>
                <w:szCs w:val="24"/>
              </w:rPr>
              <w:t>;</w:t>
            </w:r>
          </w:p>
          <w:p w14:paraId="387A6420" w14:textId="77777777" w:rsidR="00FE02E6" w:rsidRPr="00384075" w:rsidRDefault="00FE02E6" w:rsidP="0050365C">
            <w:pPr>
              <w:spacing w:before="120" w:after="120"/>
              <w:jc w:val="both"/>
              <w:rPr>
                <w:sz w:val="24"/>
                <w:szCs w:val="24"/>
              </w:rPr>
            </w:pPr>
            <w:r w:rsidRPr="00384075">
              <w:rPr>
                <w:sz w:val="24"/>
                <w:szCs w:val="24"/>
              </w:rPr>
              <w:t>•</w:t>
            </w:r>
            <w:r w:rsidRPr="00384075">
              <w:rPr>
                <w:sz w:val="24"/>
                <w:szCs w:val="24"/>
              </w:rPr>
              <w:tab/>
              <w:t>sisteme de credite gratuite sau cu dobândă redusă pentru angajatori destinate angajaților;</w:t>
            </w:r>
          </w:p>
          <w:p w14:paraId="4A5FE36F" w14:textId="77777777" w:rsidR="00FE02E6" w:rsidRPr="00384075" w:rsidRDefault="00FE02E6" w:rsidP="0050365C">
            <w:pPr>
              <w:spacing w:before="120" w:after="120"/>
              <w:jc w:val="both"/>
              <w:rPr>
                <w:sz w:val="24"/>
                <w:szCs w:val="24"/>
              </w:rPr>
            </w:pPr>
            <w:r w:rsidRPr="00384075">
              <w:rPr>
                <w:sz w:val="24"/>
                <w:szCs w:val="24"/>
              </w:rPr>
              <w:t>•</w:t>
            </w:r>
            <w:r w:rsidRPr="00384075">
              <w:rPr>
                <w:sz w:val="24"/>
                <w:szCs w:val="24"/>
              </w:rPr>
              <w:tab/>
              <w:t>plăți amânate în anumite condiții;</w:t>
            </w:r>
          </w:p>
          <w:p w14:paraId="5BA501EC" w14:textId="77777777" w:rsidR="00FE02E6" w:rsidRPr="00384075" w:rsidRDefault="00FE02E6" w:rsidP="0050365C">
            <w:pPr>
              <w:spacing w:before="120" w:after="120"/>
              <w:jc w:val="both"/>
              <w:rPr>
                <w:sz w:val="24"/>
                <w:szCs w:val="24"/>
              </w:rPr>
            </w:pPr>
            <w:r w:rsidRPr="00384075">
              <w:rPr>
                <w:sz w:val="24"/>
                <w:szCs w:val="24"/>
              </w:rPr>
              <w:t>•</w:t>
            </w:r>
            <w:r w:rsidRPr="00384075">
              <w:rPr>
                <w:sz w:val="24"/>
                <w:szCs w:val="24"/>
              </w:rPr>
              <w:tab/>
              <w:t>contracte de închiriere sau de leasing care nu oferă sau nu impun achiziționarea bunului în cauză;</w:t>
            </w:r>
          </w:p>
          <w:p w14:paraId="6447AA73" w14:textId="77777777" w:rsidR="00766463" w:rsidRPr="00384075" w:rsidRDefault="000F3693" w:rsidP="0050365C">
            <w:pPr>
              <w:spacing w:before="120" w:after="120"/>
              <w:jc w:val="both"/>
              <w:rPr>
                <w:sz w:val="24"/>
                <w:szCs w:val="24"/>
              </w:rPr>
            </w:pPr>
            <w:r w:rsidRPr="00384075">
              <w:rPr>
                <w:sz w:val="24"/>
                <w:szCs w:val="24"/>
              </w:rPr>
              <w:t>Proiectul de act normativ</w:t>
            </w:r>
            <w:r w:rsidR="00766463" w:rsidRPr="00384075">
              <w:rPr>
                <w:sz w:val="24"/>
                <w:szCs w:val="24"/>
              </w:rPr>
              <w:t xml:space="preserve"> introduce măsuri pentru creșterea transparenței informațiilor precontractuale și contractuale, asigurarea unei evaluări corecte a bonității consumatorilor și prevenirea practicilor de creditare iresponsabilă.</w:t>
            </w:r>
          </w:p>
          <w:p w14:paraId="2C62F750" w14:textId="065503C1" w:rsidR="00CC12DF" w:rsidRPr="00384075" w:rsidRDefault="006E71A7" w:rsidP="0050365C">
            <w:pPr>
              <w:spacing w:before="120" w:after="120"/>
              <w:jc w:val="both"/>
              <w:rPr>
                <w:sz w:val="24"/>
                <w:szCs w:val="24"/>
              </w:rPr>
            </w:pPr>
            <w:r w:rsidRPr="00384075">
              <w:rPr>
                <w:sz w:val="24"/>
                <w:szCs w:val="24"/>
              </w:rPr>
              <w:t>Proiectul prevede</w:t>
            </w:r>
            <w:r w:rsidR="000F3693" w:rsidRPr="00384075">
              <w:rPr>
                <w:sz w:val="24"/>
                <w:szCs w:val="24"/>
              </w:rPr>
              <w:t>, de asemenea,</w:t>
            </w:r>
            <w:r w:rsidRPr="00384075">
              <w:rPr>
                <w:sz w:val="24"/>
                <w:szCs w:val="24"/>
              </w:rPr>
              <w:t xml:space="preserve"> regleme</w:t>
            </w:r>
            <w:r w:rsidR="002108AA" w:rsidRPr="00384075">
              <w:rPr>
                <w:sz w:val="24"/>
                <w:szCs w:val="24"/>
              </w:rPr>
              <w:t>n</w:t>
            </w:r>
            <w:r w:rsidRPr="00384075">
              <w:rPr>
                <w:sz w:val="24"/>
                <w:szCs w:val="24"/>
              </w:rPr>
              <w:t>tări în sensul î</w:t>
            </w:r>
            <w:r w:rsidR="00CC12DF" w:rsidRPr="00384075">
              <w:rPr>
                <w:sz w:val="24"/>
                <w:szCs w:val="24"/>
              </w:rPr>
              <w:t>mbunătățir</w:t>
            </w:r>
            <w:r w:rsidRPr="00384075">
              <w:rPr>
                <w:sz w:val="24"/>
                <w:szCs w:val="24"/>
              </w:rPr>
              <w:t xml:space="preserve">ii modului de informare a </w:t>
            </w:r>
            <w:r w:rsidR="00CC12DF" w:rsidRPr="00384075">
              <w:rPr>
                <w:sz w:val="24"/>
                <w:szCs w:val="24"/>
              </w:rPr>
              <w:t xml:space="preserve"> consumatorilor</w:t>
            </w:r>
            <w:r w:rsidRPr="00384075">
              <w:rPr>
                <w:sz w:val="24"/>
                <w:szCs w:val="24"/>
              </w:rPr>
              <w:t>.</w:t>
            </w:r>
            <w:r w:rsidR="00ED15DE" w:rsidRPr="00384075">
              <w:rPr>
                <w:sz w:val="24"/>
                <w:szCs w:val="24"/>
              </w:rPr>
              <w:t xml:space="preserve"> </w:t>
            </w:r>
            <w:r w:rsidRPr="00384075">
              <w:rPr>
                <w:sz w:val="24"/>
                <w:szCs w:val="24"/>
              </w:rPr>
              <w:t>Î</w:t>
            </w:r>
            <w:r w:rsidR="00ED15DE" w:rsidRPr="00384075">
              <w:rPr>
                <w:sz w:val="24"/>
                <w:szCs w:val="24"/>
              </w:rPr>
              <w:t>n</w:t>
            </w:r>
            <w:r w:rsidRPr="00384075">
              <w:rPr>
                <w:sz w:val="24"/>
                <w:szCs w:val="24"/>
              </w:rPr>
              <w:t xml:space="preserve"> acest sens operatorii economici bancari și non-bancari au o</w:t>
            </w:r>
            <w:r w:rsidR="00CC12DF" w:rsidRPr="00384075">
              <w:rPr>
                <w:sz w:val="24"/>
                <w:szCs w:val="24"/>
              </w:rPr>
              <w:t>bligativitatea furnizării informațiilor precontractuale clare, complete și inteligibile.</w:t>
            </w:r>
          </w:p>
          <w:p w14:paraId="6BB6835D" w14:textId="77777777" w:rsidR="00CC12DF" w:rsidRPr="00384075" w:rsidRDefault="00ED15DE" w:rsidP="0050365C">
            <w:pPr>
              <w:spacing w:before="120" w:after="120"/>
              <w:jc w:val="both"/>
              <w:rPr>
                <w:sz w:val="24"/>
                <w:szCs w:val="24"/>
              </w:rPr>
            </w:pPr>
            <w:r w:rsidRPr="00384075">
              <w:rPr>
                <w:sz w:val="24"/>
                <w:szCs w:val="24"/>
              </w:rPr>
              <w:t xml:space="preserve">Au fost introduse prin acest proiect </w:t>
            </w:r>
            <w:r w:rsidR="00CC12DF" w:rsidRPr="00384075">
              <w:rPr>
                <w:sz w:val="24"/>
                <w:szCs w:val="24"/>
              </w:rPr>
              <w:t>cerințe specifice privind publicitatea contractelor de credit, incluzând avertismente standard.</w:t>
            </w:r>
          </w:p>
          <w:p w14:paraId="53DA75AE" w14:textId="77777777" w:rsidR="00766463" w:rsidRPr="00384075" w:rsidRDefault="00766463" w:rsidP="0050365C">
            <w:pPr>
              <w:spacing w:before="120" w:after="120"/>
              <w:jc w:val="both"/>
              <w:rPr>
                <w:sz w:val="24"/>
                <w:szCs w:val="24"/>
              </w:rPr>
            </w:pPr>
            <w:r w:rsidRPr="00384075">
              <w:rPr>
                <w:sz w:val="24"/>
                <w:szCs w:val="24"/>
              </w:rPr>
              <w:t>Se introduc măsuri pentru prevenirea practicilor comerciale agresive sau înșelătoare, cum ar fi publicitatea care încurajează supraîndatorarea sau acordarea nesolicitată de credite.</w:t>
            </w:r>
          </w:p>
          <w:p w14:paraId="7EE16774" w14:textId="77777777" w:rsidR="00CC12DF" w:rsidRPr="00384075" w:rsidRDefault="00766463" w:rsidP="0050365C">
            <w:pPr>
              <w:spacing w:before="120" w:after="120"/>
              <w:jc w:val="both"/>
              <w:rPr>
                <w:sz w:val="24"/>
                <w:szCs w:val="24"/>
              </w:rPr>
            </w:pPr>
            <w:r w:rsidRPr="00384075">
              <w:rPr>
                <w:sz w:val="24"/>
                <w:szCs w:val="24"/>
              </w:rPr>
              <w:t>Se introduc r</w:t>
            </w:r>
            <w:r w:rsidR="00CC12DF" w:rsidRPr="00384075">
              <w:rPr>
                <w:sz w:val="24"/>
                <w:szCs w:val="24"/>
              </w:rPr>
              <w:t>eguli mai stricte pentru publicitatea și marketingul produselor de credit</w:t>
            </w:r>
            <w:r w:rsidR="000F3693" w:rsidRPr="00384075">
              <w:rPr>
                <w:sz w:val="24"/>
                <w:szCs w:val="24"/>
              </w:rPr>
              <w:t xml:space="preserve"> și </w:t>
            </w:r>
            <w:r w:rsidRPr="00384075">
              <w:rPr>
                <w:sz w:val="24"/>
                <w:szCs w:val="24"/>
              </w:rPr>
              <w:t>reguli de interzicere a</w:t>
            </w:r>
            <w:r w:rsidR="00CC12DF" w:rsidRPr="00384075">
              <w:rPr>
                <w:sz w:val="24"/>
                <w:szCs w:val="24"/>
              </w:rPr>
              <w:t xml:space="preserve"> publicității care induce în eroare sau care promovează ușurința obținerii creditului în mod iresponsabil.</w:t>
            </w:r>
          </w:p>
          <w:p w14:paraId="284AC5C7" w14:textId="77777777" w:rsidR="00CC12DF" w:rsidRPr="00384075" w:rsidRDefault="00766463" w:rsidP="0050365C">
            <w:pPr>
              <w:spacing w:before="120" w:after="120"/>
              <w:jc w:val="both"/>
              <w:rPr>
                <w:sz w:val="24"/>
                <w:szCs w:val="24"/>
              </w:rPr>
            </w:pPr>
            <w:r w:rsidRPr="00384075">
              <w:rPr>
                <w:sz w:val="24"/>
                <w:szCs w:val="24"/>
              </w:rPr>
              <w:t>Sunt s</w:t>
            </w:r>
            <w:r w:rsidR="00CC12DF" w:rsidRPr="00384075">
              <w:rPr>
                <w:sz w:val="24"/>
                <w:szCs w:val="24"/>
              </w:rPr>
              <w:t>tabili</w:t>
            </w:r>
            <w:r w:rsidRPr="00384075">
              <w:rPr>
                <w:sz w:val="24"/>
                <w:szCs w:val="24"/>
              </w:rPr>
              <w:t>te</w:t>
            </w:r>
            <w:r w:rsidR="00CC12DF" w:rsidRPr="00384075">
              <w:rPr>
                <w:sz w:val="24"/>
                <w:szCs w:val="24"/>
              </w:rPr>
              <w:t xml:space="preserve"> standarde minime pentru informațiile incluse în anunțurile publicitare.</w:t>
            </w:r>
          </w:p>
          <w:p w14:paraId="579227DA" w14:textId="77777777" w:rsidR="00766463" w:rsidRPr="00384075" w:rsidRDefault="00766463" w:rsidP="0050365C">
            <w:pPr>
              <w:spacing w:before="120" w:after="120"/>
              <w:jc w:val="both"/>
              <w:rPr>
                <w:sz w:val="24"/>
                <w:szCs w:val="24"/>
              </w:rPr>
            </w:pPr>
            <w:r w:rsidRPr="00384075">
              <w:rPr>
                <w:sz w:val="24"/>
                <w:szCs w:val="24"/>
              </w:rPr>
              <w:t>Se introduc noi drepturi, precum dreptul de retragere, dreptul de rambursare anticipată și dreptul la informații detaliate privind modificările contractuale.</w:t>
            </w:r>
          </w:p>
          <w:p w14:paraId="1D0FB7C1" w14:textId="4BF15E39" w:rsidR="00CC12DF" w:rsidRPr="00384075" w:rsidRDefault="00766463" w:rsidP="0050365C">
            <w:pPr>
              <w:spacing w:before="120" w:after="120"/>
              <w:jc w:val="both"/>
              <w:rPr>
                <w:sz w:val="24"/>
                <w:szCs w:val="24"/>
              </w:rPr>
            </w:pPr>
            <w:r w:rsidRPr="00384075">
              <w:rPr>
                <w:sz w:val="24"/>
                <w:szCs w:val="24"/>
              </w:rPr>
              <w:t>Consumatorii vor avea acces la credite care sunt adaptate situației lor financiare, pe baza unei evaluări corecte a bonității.</w:t>
            </w:r>
            <w:r w:rsidR="000F3693" w:rsidRPr="00384075">
              <w:rPr>
                <w:sz w:val="24"/>
                <w:szCs w:val="24"/>
              </w:rPr>
              <w:t xml:space="preserve"> </w:t>
            </w:r>
            <w:r w:rsidRPr="00384075">
              <w:rPr>
                <w:sz w:val="24"/>
                <w:szCs w:val="24"/>
              </w:rPr>
              <w:t xml:space="preserve">Proiectul de </w:t>
            </w:r>
            <w:r w:rsidR="00D66EA6" w:rsidRPr="00384075">
              <w:rPr>
                <w:sz w:val="24"/>
                <w:szCs w:val="24"/>
              </w:rPr>
              <w:t>Ordonanță de urgență</w:t>
            </w:r>
            <w:r w:rsidRPr="00384075">
              <w:rPr>
                <w:sz w:val="24"/>
                <w:szCs w:val="24"/>
              </w:rPr>
              <w:t xml:space="preserve"> reglementează necesitatea unei evaluări</w:t>
            </w:r>
            <w:r w:rsidR="00CC12DF" w:rsidRPr="00384075">
              <w:rPr>
                <w:sz w:val="24"/>
                <w:szCs w:val="24"/>
              </w:rPr>
              <w:t xml:space="preserve"> obligatori</w:t>
            </w:r>
            <w:r w:rsidRPr="00384075">
              <w:rPr>
                <w:sz w:val="24"/>
                <w:szCs w:val="24"/>
              </w:rPr>
              <w:t>i</w:t>
            </w:r>
            <w:r w:rsidR="00CC12DF" w:rsidRPr="00384075">
              <w:rPr>
                <w:sz w:val="24"/>
                <w:szCs w:val="24"/>
              </w:rPr>
              <w:t xml:space="preserve"> și riguroas</w:t>
            </w:r>
            <w:r w:rsidRPr="00384075">
              <w:rPr>
                <w:sz w:val="24"/>
                <w:szCs w:val="24"/>
              </w:rPr>
              <w:t>e</w:t>
            </w:r>
            <w:r w:rsidR="00CC12DF" w:rsidRPr="00384075">
              <w:rPr>
                <w:sz w:val="24"/>
                <w:szCs w:val="24"/>
              </w:rPr>
              <w:t xml:space="preserve"> a bonității consumatorilor.</w:t>
            </w:r>
          </w:p>
          <w:p w14:paraId="7F092D9E" w14:textId="77777777" w:rsidR="00CC12DF" w:rsidRPr="00384075" w:rsidRDefault="00766463" w:rsidP="0050365C">
            <w:pPr>
              <w:spacing w:before="120" w:after="120"/>
              <w:jc w:val="both"/>
              <w:rPr>
                <w:sz w:val="24"/>
                <w:szCs w:val="24"/>
              </w:rPr>
            </w:pPr>
            <w:r w:rsidRPr="00384075">
              <w:rPr>
                <w:sz w:val="24"/>
                <w:szCs w:val="24"/>
              </w:rPr>
              <w:t>Se i</w:t>
            </w:r>
            <w:r w:rsidR="00CC12DF" w:rsidRPr="00384075">
              <w:rPr>
                <w:sz w:val="24"/>
                <w:szCs w:val="24"/>
              </w:rPr>
              <w:t>nterzice leg</w:t>
            </w:r>
            <w:r w:rsidRPr="00384075">
              <w:rPr>
                <w:sz w:val="24"/>
                <w:szCs w:val="24"/>
              </w:rPr>
              <w:t>area</w:t>
            </w:r>
            <w:r w:rsidR="00CC12DF" w:rsidRPr="00384075">
              <w:rPr>
                <w:sz w:val="24"/>
                <w:szCs w:val="24"/>
              </w:rPr>
              <w:t xml:space="preserve"> creditelor cu alte produse financiare, cu excepții strict reglementate</w:t>
            </w:r>
            <w:r w:rsidR="000F3693" w:rsidRPr="00384075">
              <w:rPr>
                <w:sz w:val="24"/>
                <w:szCs w:val="24"/>
              </w:rPr>
              <w:t xml:space="preserve"> de actul normativ</w:t>
            </w:r>
            <w:r w:rsidR="00CC12DF" w:rsidRPr="00384075">
              <w:rPr>
                <w:sz w:val="24"/>
                <w:szCs w:val="24"/>
              </w:rPr>
              <w:t>.</w:t>
            </w:r>
          </w:p>
          <w:p w14:paraId="1E2803AE" w14:textId="77777777" w:rsidR="00766463" w:rsidRPr="00384075" w:rsidRDefault="00766463" w:rsidP="0050365C">
            <w:pPr>
              <w:spacing w:before="120" w:after="120"/>
              <w:jc w:val="both"/>
              <w:rPr>
                <w:sz w:val="24"/>
                <w:szCs w:val="24"/>
              </w:rPr>
            </w:pPr>
            <w:r w:rsidRPr="00384075">
              <w:rPr>
                <w:sz w:val="24"/>
                <w:szCs w:val="24"/>
              </w:rPr>
              <w:t>S</w:t>
            </w:r>
            <w:r w:rsidR="000F3693" w:rsidRPr="00384075">
              <w:rPr>
                <w:sz w:val="24"/>
                <w:szCs w:val="24"/>
              </w:rPr>
              <w:t>unt</w:t>
            </w:r>
            <w:r w:rsidRPr="00384075">
              <w:rPr>
                <w:sz w:val="24"/>
                <w:szCs w:val="24"/>
              </w:rPr>
              <w:t xml:space="preserve"> introdu</w:t>
            </w:r>
            <w:r w:rsidR="000F3693" w:rsidRPr="00384075">
              <w:rPr>
                <w:sz w:val="24"/>
                <w:szCs w:val="24"/>
              </w:rPr>
              <w:t>se</w:t>
            </w:r>
            <w:r w:rsidRPr="00384075">
              <w:rPr>
                <w:sz w:val="24"/>
                <w:szCs w:val="24"/>
              </w:rPr>
              <w:t xml:space="preserve"> drepturi, precum dreptul de retragere din contract în termen de 14 zile, dreptul de rambursare anticipată și dreptul la informații detaliate privind modificările contractuale. </w:t>
            </w:r>
          </w:p>
          <w:p w14:paraId="0021F8AA" w14:textId="77777777" w:rsidR="007C3486" w:rsidRPr="00384075" w:rsidRDefault="00766463" w:rsidP="0050365C">
            <w:pPr>
              <w:spacing w:before="120" w:after="120"/>
              <w:jc w:val="both"/>
              <w:rPr>
                <w:sz w:val="24"/>
                <w:szCs w:val="24"/>
              </w:rPr>
            </w:pPr>
            <w:r w:rsidRPr="00384075">
              <w:rPr>
                <w:sz w:val="24"/>
                <w:szCs w:val="24"/>
              </w:rPr>
              <w:t>Directiva stabilește nevoia luării de măsuri pentru consolidarea</w:t>
            </w:r>
            <w:r w:rsidR="00CC12DF" w:rsidRPr="00384075">
              <w:rPr>
                <w:sz w:val="24"/>
                <w:szCs w:val="24"/>
              </w:rPr>
              <w:t xml:space="preserve"> supravegherii și educației financiare</w:t>
            </w:r>
            <w:r w:rsidR="007C3486" w:rsidRPr="00384075">
              <w:rPr>
                <w:sz w:val="24"/>
                <w:szCs w:val="24"/>
              </w:rPr>
              <w:t>, prin promovarea educației financiare pentru consumatori în domeniul gestionării datoriilor și împrumuturilor responsabile.</w:t>
            </w:r>
          </w:p>
          <w:p w14:paraId="324D4C0E" w14:textId="150F3E5E" w:rsidR="007C3486" w:rsidRPr="00384075" w:rsidRDefault="007C3486" w:rsidP="0050365C">
            <w:pPr>
              <w:spacing w:before="120" w:after="120"/>
              <w:jc w:val="both"/>
              <w:rPr>
                <w:sz w:val="24"/>
                <w:szCs w:val="24"/>
                <w:lang w:val="en-US"/>
              </w:rPr>
            </w:pPr>
            <w:proofErr w:type="spellStart"/>
            <w:r w:rsidRPr="00384075">
              <w:rPr>
                <w:sz w:val="24"/>
                <w:szCs w:val="24"/>
                <w:lang w:val="en-US"/>
              </w:rPr>
              <w:t>Obiectivele</w:t>
            </w:r>
            <w:proofErr w:type="spellEnd"/>
            <w:r w:rsidRPr="00384075">
              <w:rPr>
                <w:sz w:val="24"/>
                <w:szCs w:val="24"/>
                <w:lang w:val="en-US"/>
              </w:rPr>
              <w:t xml:space="preserve"> </w:t>
            </w:r>
            <w:proofErr w:type="spellStart"/>
            <w:r w:rsidRPr="00384075">
              <w:rPr>
                <w:sz w:val="24"/>
                <w:szCs w:val="24"/>
                <w:lang w:val="en-US"/>
              </w:rPr>
              <w:t>stabilite</w:t>
            </w:r>
            <w:proofErr w:type="spellEnd"/>
            <w:r w:rsidRPr="00384075">
              <w:rPr>
                <w:sz w:val="24"/>
                <w:szCs w:val="24"/>
                <w:lang w:val="en-US"/>
              </w:rPr>
              <w:t xml:space="preserve"> de </w:t>
            </w:r>
            <w:proofErr w:type="spellStart"/>
            <w:r w:rsidR="00D50127" w:rsidRPr="00384075">
              <w:rPr>
                <w:sz w:val="24"/>
                <w:szCs w:val="24"/>
                <w:lang w:val="en-US"/>
              </w:rPr>
              <w:t>proiectul</w:t>
            </w:r>
            <w:proofErr w:type="spellEnd"/>
            <w:r w:rsidR="00D50127" w:rsidRPr="00384075">
              <w:rPr>
                <w:sz w:val="24"/>
                <w:szCs w:val="24"/>
                <w:lang w:val="en-US"/>
              </w:rPr>
              <w:t xml:space="preserve"> de </w:t>
            </w:r>
            <w:proofErr w:type="spellStart"/>
            <w:r w:rsidR="00D66EA6" w:rsidRPr="00384075">
              <w:rPr>
                <w:sz w:val="24"/>
                <w:szCs w:val="24"/>
                <w:lang w:val="en-US"/>
              </w:rPr>
              <w:t>Ordonanță</w:t>
            </w:r>
            <w:proofErr w:type="spellEnd"/>
            <w:r w:rsidR="00D66EA6" w:rsidRPr="00384075">
              <w:rPr>
                <w:sz w:val="24"/>
                <w:szCs w:val="24"/>
                <w:lang w:val="en-US"/>
              </w:rPr>
              <w:t xml:space="preserve"> de </w:t>
            </w:r>
            <w:proofErr w:type="spellStart"/>
            <w:r w:rsidR="00D66EA6" w:rsidRPr="00384075">
              <w:rPr>
                <w:sz w:val="24"/>
                <w:szCs w:val="24"/>
                <w:lang w:val="en-US"/>
              </w:rPr>
              <w:t>urgență</w:t>
            </w:r>
            <w:proofErr w:type="spellEnd"/>
            <w:r w:rsidR="00D50127" w:rsidRPr="00384075">
              <w:rPr>
                <w:sz w:val="24"/>
                <w:szCs w:val="24"/>
                <w:lang w:val="en-US"/>
              </w:rPr>
              <w:t xml:space="preserve"> </w:t>
            </w:r>
            <w:r w:rsidRPr="00384075">
              <w:rPr>
                <w:sz w:val="24"/>
                <w:szCs w:val="24"/>
                <w:lang w:val="en-US"/>
              </w:rPr>
              <w:t>sunt:</w:t>
            </w:r>
          </w:p>
          <w:p w14:paraId="5A6B74B3" w14:textId="77777777" w:rsidR="007C3486" w:rsidRPr="00384075" w:rsidRDefault="007C3486" w:rsidP="0050365C">
            <w:pPr>
              <w:spacing w:before="120" w:after="120"/>
              <w:jc w:val="both"/>
              <w:rPr>
                <w:sz w:val="24"/>
                <w:szCs w:val="24"/>
              </w:rPr>
            </w:pPr>
            <w:r w:rsidRPr="00384075">
              <w:rPr>
                <w:sz w:val="24"/>
                <w:szCs w:val="24"/>
              </w:rPr>
              <w:t>-Crearea unui cadru unitar pentru reglementarea creditelor de consum, aplicabil tuturor creditorilor și intermediarilor de credit.</w:t>
            </w:r>
          </w:p>
          <w:p w14:paraId="6768E76B" w14:textId="77777777" w:rsidR="007C3486" w:rsidRPr="00384075" w:rsidRDefault="007C3486" w:rsidP="0050365C">
            <w:pPr>
              <w:spacing w:before="120" w:after="120"/>
              <w:jc w:val="both"/>
              <w:rPr>
                <w:sz w:val="24"/>
                <w:szCs w:val="24"/>
              </w:rPr>
            </w:pPr>
            <w:r w:rsidRPr="00384075">
              <w:rPr>
                <w:sz w:val="24"/>
                <w:szCs w:val="24"/>
              </w:rPr>
              <w:lastRenderedPageBreak/>
              <w:t>-Creșterea nivelului de informare a consumatorilor prin standardizarea informațiilor precontractuale și contractuale.</w:t>
            </w:r>
          </w:p>
          <w:p w14:paraId="3E82DF65" w14:textId="77777777" w:rsidR="007C3486" w:rsidRPr="00384075" w:rsidRDefault="007C3486" w:rsidP="0050365C">
            <w:pPr>
              <w:spacing w:before="120" w:after="120"/>
              <w:jc w:val="both"/>
              <w:rPr>
                <w:sz w:val="24"/>
                <w:szCs w:val="24"/>
              </w:rPr>
            </w:pPr>
            <w:r w:rsidRPr="00384075">
              <w:rPr>
                <w:sz w:val="24"/>
                <w:szCs w:val="24"/>
              </w:rPr>
              <w:t>-Introducerea unor cerințe stricte privind evaluarea bonității consumatorilor, astfel încât să fie prevenită supraîndatorarea.</w:t>
            </w:r>
          </w:p>
          <w:p w14:paraId="3DC0F245" w14:textId="77777777" w:rsidR="007C3486" w:rsidRPr="00384075" w:rsidRDefault="007C3486" w:rsidP="0050365C">
            <w:pPr>
              <w:spacing w:before="120" w:after="120"/>
              <w:jc w:val="both"/>
              <w:rPr>
                <w:sz w:val="24"/>
                <w:szCs w:val="24"/>
              </w:rPr>
            </w:pPr>
            <w:r w:rsidRPr="00384075">
              <w:rPr>
                <w:sz w:val="24"/>
                <w:szCs w:val="24"/>
              </w:rPr>
              <w:t>-Protejarea consumatorilor vulnerabili prin măsuri specifice, cum ar fi accesul la servicii de consiliere în materie de îndatorare.</w:t>
            </w:r>
          </w:p>
          <w:p w14:paraId="2E1B0CF8" w14:textId="77777777" w:rsidR="00CC12DF" w:rsidRPr="00384075" w:rsidRDefault="00766463" w:rsidP="0050365C">
            <w:pPr>
              <w:spacing w:before="120" w:after="120"/>
              <w:jc w:val="both"/>
              <w:rPr>
                <w:sz w:val="24"/>
                <w:szCs w:val="24"/>
              </w:rPr>
            </w:pPr>
            <w:r w:rsidRPr="00384075">
              <w:rPr>
                <w:sz w:val="24"/>
                <w:szCs w:val="24"/>
              </w:rPr>
              <w:t>De asemenea</w:t>
            </w:r>
            <w:r w:rsidR="000F3693" w:rsidRPr="00384075">
              <w:rPr>
                <w:sz w:val="24"/>
                <w:szCs w:val="24"/>
              </w:rPr>
              <w:t>,</w:t>
            </w:r>
            <w:r w:rsidRPr="00384075">
              <w:rPr>
                <w:sz w:val="24"/>
                <w:szCs w:val="24"/>
              </w:rPr>
              <w:t xml:space="preserve"> se stabilesc măsuri pentru prevenirea supraîndatorării. Astfel, creditorii vor avea obligația de a oferi consiliere consumatorilor aflați în dificultate financiară și de a propune măsuri de restructurare a datoriilor.</w:t>
            </w:r>
          </w:p>
          <w:p w14:paraId="5ECD6002" w14:textId="7CAC79AD" w:rsidR="00CC12DF" w:rsidRPr="00384075" w:rsidRDefault="00D50127" w:rsidP="0050365C">
            <w:pPr>
              <w:spacing w:before="120" w:after="120"/>
              <w:jc w:val="both"/>
              <w:rPr>
                <w:sz w:val="24"/>
                <w:szCs w:val="24"/>
              </w:rPr>
            </w:pPr>
            <w:r w:rsidRPr="00384075">
              <w:rPr>
                <w:sz w:val="24"/>
                <w:szCs w:val="24"/>
              </w:rPr>
              <w:t>Pr</w:t>
            </w:r>
            <w:r w:rsidR="00151D84" w:rsidRPr="00384075">
              <w:rPr>
                <w:sz w:val="24"/>
                <w:szCs w:val="24"/>
              </w:rPr>
              <w:t>o</w:t>
            </w:r>
            <w:r w:rsidRPr="00384075">
              <w:rPr>
                <w:sz w:val="24"/>
                <w:szCs w:val="24"/>
              </w:rPr>
              <w:t xml:space="preserve">iectul de </w:t>
            </w:r>
            <w:r w:rsidR="00D66EA6" w:rsidRPr="00384075">
              <w:rPr>
                <w:sz w:val="24"/>
                <w:szCs w:val="24"/>
              </w:rPr>
              <w:t>Ordonanță de urgență</w:t>
            </w:r>
            <w:r w:rsidRPr="00384075">
              <w:rPr>
                <w:sz w:val="24"/>
                <w:szCs w:val="24"/>
              </w:rPr>
              <w:t xml:space="preserve"> </w:t>
            </w:r>
            <w:r w:rsidR="007C3486" w:rsidRPr="00384075">
              <w:rPr>
                <w:sz w:val="24"/>
                <w:szCs w:val="24"/>
              </w:rPr>
              <w:t>stabilește necesitatea impunerii de</w:t>
            </w:r>
            <w:r w:rsidR="00CC12DF" w:rsidRPr="00384075">
              <w:rPr>
                <w:sz w:val="24"/>
                <w:szCs w:val="24"/>
              </w:rPr>
              <w:t xml:space="preserve"> cerințe minime de competență pentru creditori și personalul acestora.</w:t>
            </w:r>
          </w:p>
          <w:p w14:paraId="07E9055F" w14:textId="4009B3EB" w:rsidR="00CC12DF" w:rsidRPr="00384075" w:rsidRDefault="007C3486" w:rsidP="0050365C">
            <w:pPr>
              <w:spacing w:before="120" w:after="120"/>
              <w:jc w:val="both"/>
              <w:rPr>
                <w:sz w:val="24"/>
                <w:szCs w:val="24"/>
              </w:rPr>
            </w:pPr>
            <w:r w:rsidRPr="00384075">
              <w:rPr>
                <w:sz w:val="24"/>
                <w:szCs w:val="24"/>
              </w:rPr>
              <w:t xml:space="preserve">Proiectul de </w:t>
            </w:r>
            <w:r w:rsidR="00D66EA6" w:rsidRPr="00384075">
              <w:rPr>
                <w:sz w:val="24"/>
                <w:szCs w:val="24"/>
              </w:rPr>
              <w:t>Ordonanță de urgență</w:t>
            </w:r>
            <w:r w:rsidRPr="00384075">
              <w:rPr>
                <w:sz w:val="24"/>
                <w:szCs w:val="24"/>
              </w:rPr>
              <w:t xml:space="preserve"> stabilește reguli de i</w:t>
            </w:r>
            <w:r w:rsidR="00CC12DF" w:rsidRPr="00384075">
              <w:rPr>
                <w:sz w:val="24"/>
                <w:szCs w:val="24"/>
              </w:rPr>
              <w:t>nterzicere</w:t>
            </w:r>
            <w:r w:rsidRPr="00384075">
              <w:rPr>
                <w:sz w:val="24"/>
                <w:szCs w:val="24"/>
              </w:rPr>
              <w:t xml:space="preserve"> </w:t>
            </w:r>
            <w:r w:rsidR="00CC12DF" w:rsidRPr="00384075">
              <w:rPr>
                <w:sz w:val="24"/>
                <w:szCs w:val="24"/>
              </w:rPr>
              <w:t>a discriminării în acordarea creditelor pe bază de cetățenie, loc de reședință sau alți factori enumerați în Carta drepturilor fundamentale a Uniunii Europene.</w:t>
            </w:r>
          </w:p>
          <w:p w14:paraId="117FBC6C" w14:textId="77777777" w:rsidR="00CC12DF" w:rsidRPr="00384075" w:rsidRDefault="007C3486" w:rsidP="0050365C">
            <w:pPr>
              <w:spacing w:before="120" w:after="120"/>
              <w:jc w:val="both"/>
              <w:rPr>
                <w:sz w:val="24"/>
                <w:szCs w:val="24"/>
              </w:rPr>
            </w:pPr>
            <w:r w:rsidRPr="00384075">
              <w:rPr>
                <w:sz w:val="24"/>
                <w:szCs w:val="24"/>
              </w:rPr>
              <w:t>Se impune asigurarea</w:t>
            </w:r>
            <w:r w:rsidR="00CC12DF" w:rsidRPr="00384075">
              <w:rPr>
                <w:sz w:val="24"/>
                <w:szCs w:val="24"/>
              </w:rPr>
              <w:t xml:space="preserve"> accesului echitabil la baze de date pentru evaluarea bonității consumatorilor.</w:t>
            </w:r>
          </w:p>
          <w:p w14:paraId="6C6C2378" w14:textId="77777777" w:rsidR="00E26F01" w:rsidRPr="00384075" w:rsidRDefault="007C3486" w:rsidP="0050365C">
            <w:pPr>
              <w:spacing w:before="120" w:after="120"/>
              <w:jc w:val="both"/>
              <w:rPr>
                <w:sz w:val="24"/>
                <w:szCs w:val="24"/>
              </w:rPr>
            </w:pPr>
            <w:r w:rsidRPr="00384075">
              <w:rPr>
                <w:sz w:val="24"/>
                <w:szCs w:val="24"/>
              </w:rPr>
              <w:t>Se i</w:t>
            </w:r>
            <w:r w:rsidR="00CC12DF" w:rsidRPr="00384075">
              <w:rPr>
                <w:sz w:val="24"/>
                <w:szCs w:val="24"/>
              </w:rPr>
              <w:t>ntroduce obligați</w:t>
            </w:r>
            <w:r w:rsidRPr="00384075">
              <w:rPr>
                <w:sz w:val="24"/>
                <w:szCs w:val="24"/>
              </w:rPr>
              <w:t>a</w:t>
            </w:r>
            <w:r w:rsidR="00CC12DF" w:rsidRPr="00384075">
              <w:rPr>
                <w:sz w:val="24"/>
                <w:szCs w:val="24"/>
              </w:rPr>
              <w:t xml:space="preserve"> creditorilor de a lua măsuri rezonabile de restructurare a datoriilor înainte de inițierea executării silite.</w:t>
            </w:r>
          </w:p>
          <w:p w14:paraId="0B99A131" w14:textId="536578DC" w:rsidR="00F125D8" w:rsidRPr="00384075" w:rsidRDefault="00F125D8" w:rsidP="0050365C">
            <w:pPr>
              <w:spacing w:before="120" w:after="120"/>
              <w:jc w:val="both"/>
              <w:rPr>
                <w:sz w:val="24"/>
                <w:szCs w:val="24"/>
              </w:rPr>
            </w:pPr>
            <w:r w:rsidRPr="00384075">
              <w:rPr>
                <w:sz w:val="24"/>
                <w:szCs w:val="24"/>
              </w:rPr>
              <w:t>Pentru anumite tipuri de contracte de credit, cum ar fi cele sub forma depășirii limitei de credit sau cele încheiate între creditori nonfinanciari și consumator în ceea ce privește amânarea plății sau metodele de rambursare, în cazul în care consumatorul și-a încălcat deja obligațiile de plată cuprinse în contractul de credit inițial sau este probabil că le va încălca și dacă se îndeplinesc anumite condiții, ar trebui să se aplice doar anumite dispoziții relevante din cuprinsul Directivei, statele membre având posibilitatea să exclud</w:t>
            </w:r>
            <w:r w:rsidR="00151D84" w:rsidRPr="00384075">
              <w:rPr>
                <w:sz w:val="24"/>
                <w:szCs w:val="24"/>
              </w:rPr>
              <w:t>ă</w:t>
            </w:r>
            <w:r w:rsidRPr="00384075">
              <w:rPr>
                <w:sz w:val="24"/>
                <w:szCs w:val="24"/>
              </w:rPr>
              <w:t xml:space="preserve"> aplicarea unui număr bine definit și limitat de dispoziții ale acesteia referitoare la publicitate, informații precontractuale și informații contractuale, pentru a evita o sarcină inutilă pentru creditori (ținând seama de particularitățile pieței și de caracteristicile specifice acestor contracte de credit, cum ar fi durata lor mai scurtă) asigurând în același timp un nivel mai ridicat de protecție a consumatorilor. În consecință, pentru motivele anterior menționate, s-a considerat necesar ca doar anumite prevederi relevante din </w:t>
            </w:r>
            <w:r w:rsidR="008C1656" w:rsidRPr="00384075">
              <w:rPr>
                <w:sz w:val="24"/>
                <w:szCs w:val="24"/>
              </w:rPr>
              <w:t>Ordonanța de urgență</w:t>
            </w:r>
            <w:r w:rsidRPr="00384075">
              <w:rPr>
                <w:sz w:val="24"/>
                <w:szCs w:val="24"/>
              </w:rPr>
              <w:t xml:space="preserve"> să se aplice </w:t>
            </w:r>
            <w:r w:rsidR="00AE0893" w:rsidRPr="00384075">
              <w:rPr>
                <w:sz w:val="24"/>
                <w:szCs w:val="24"/>
              </w:rPr>
              <w:t>contractelor de credit sub forma depășirii limitei de credit sau cele încheiate între creditori nonfinanciari și consumator în ceea ce privește amânarea plății sau metodele de rambursare, în cazul în care consumatorul și-a încălcat deja obligațiile de plată cuprinse în contractul de credit inițial sau este probabil că le va încălca și dacă se îndeplinesc anumite condiții</w:t>
            </w:r>
            <w:r w:rsidRPr="00384075">
              <w:rPr>
                <w:sz w:val="24"/>
                <w:szCs w:val="24"/>
              </w:rPr>
              <w:t>.</w:t>
            </w:r>
          </w:p>
          <w:p w14:paraId="1FC98C2D" w14:textId="77777777" w:rsidR="00CB7A66" w:rsidRPr="00384075" w:rsidRDefault="000C4EAF" w:rsidP="0050365C">
            <w:pPr>
              <w:spacing w:before="120" w:after="120"/>
              <w:jc w:val="both"/>
              <w:rPr>
                <w:sz w:val="24"/>
                <w:szCs w:val="24"/>
              </w:rPr>
            </w:pPr>
            <w:r w:rsidRPr="00384075">
              <w:rPr>
                <w:b/>
                <w:bCs/>
                <w:sz w:val="24"/>
                <w:szCs w:val="24"/>
              </w:rPr>
              <w:t xml:space="preserve">Articolul 31 </w:t>
            </w:r>
            <w:r w:rsidR="00AD76ED" w:rsidRPr="00384075">
              <w:rPr>
                <w:b/>
                <w:bCs/>
                <w:sz w:val="24"/>
                <w:szCs w:val="24"/>
              </w:rPr>
              <w:t>alin. (1)</w:t>
            </w:r>
            <w:r w:rsidR="00AD76ED" w:rsidRPr="00384075">
              <w:rPr>
                <w:sz w:val="24"/>
                <w:szCs w:val="24"/>
              </w:rPr>
              <w:t xml:space="preserve"> din Directivă prevede faptul că</w:t>
            </w:r>
            <w:r w:rsidR="008C1656" w:rsidRPr="00384075">
              <w:rPr>
                <w:sz w:val="24"/>
                <w:szCs w:val="24"/>
              </w:rPr>
              <w:t>,</w:t>
            </w:r>
            <w:r w:rsidR="00AD76ED" w:rsidRPr="00384075">
              <w:rPr>
                <w:sz w:val="24"/>
                <w:szCs w:val="24"/>
              </w:rPr>
              <w:t xml:space="preserve"> statele membre introduc măsuri, cum ar fi plafoane, pentru a preveni abuzurile în mod eficace și pentru a se asigura că nu se pot percepe consumatorilor rate ale dobânzii aferente creditului, dobânzi anuale efective sau costuri totale ale creditului pentru consumator excesiv de ridicate. </w:t>
            </w:r>
          </w:p>
          <w:p w14:paraId="121356BE" w14:textId="77777777" w:rsidR="00CB7A66" w:rsidRPr="00384075" w:rsidRDefault="00CB7A66" w:rsidP="0050365C">
            <w:pPr>
              <w:spacing w:before="120" w:after="120"/>
              <w:jc w:val="both"/>
              <w:rPr>
                <w:i/>
                <w:iCs/>
                <w:sz w:val="24"/>
                <w:szCs w:val="24"/>
              </w:rPr>
            </w:pPr>
            <w:r w:rsidRPr="00384075">
              <w:rPr>
                <w:sz w:val="24"/>
                <w:szCs w:val="24"/>
              </w:rPr>
              <w:t xml:space="preserve">În considerentul nr. 73 al Directivei 2023/2225 se menționează faptul că </w:t>
            </w:r>
            <w:r w:rsidRPr="00384075">
              <w:rPr>
                <w:i/>
                <w:iCs/>
                <w:sz w:val="24"/>
                <w:szCs w:val="24"/>
                <w:lang w:val="en-US"/>
              </w:rPr>
              <w:t>“</w:t>
            </w:r>
            <w:r w:rsidRPr="00384075">
              <w:rPr>
                <w:i/>
                <w:iCs/>
                <w:sz w:val="24"/>
                <w:szCs w:val="24"/>
              </w:rPr>
              <w:t xml:space="preserve">stabilirea de plafoane ale ratelor dobânzii aferente creditului, ale dobânzii anuale efective sau ale costului total al creditului pentru consumator este o practică obișnuită în mai multe state membre. Un astfel de sistem de plafonare s-a dovedit util pentru protejarea consumatorilor împotriva ratelor excesiv de ridicate ale dobânzii aferente creditului, ale dobânzii anuale efective sau ale costului total al creditului pentru consumator. </w:t>
            </w:r>
            <w:r w:rsidRPr="00384075">
              <w:rPr>
                <w:b/>
                <w:bCs/>
                <w:i/>
                <w:iCs/>
                <w:sz w:val="24"/>
                <w:szCs w:val="24"/>
              </w:rPr>
              <w:t>În acest context, statele membre ar trebui să își poată menține regimul juridic actual.</w:t>
            </w:r>
            <w:r w:rsidRPr="00384075">
              <w:rPr>
                <w:i/>
                <w:iCs/>
                <w:sz w:val="24"/>
                <w:szCs w:val="24"/>
              </w:rPr>
              <w:t xml:space="preserve"> În efortul de a spori protecția consumatorilor fără a impune limite inutile statelor membre, ar trebui să existe măsuri adecvate, precum plafoane sau stabilirea unor limite ale dobânzilor excesive, pentru a se împiedica în mod eficient abuzurile și pentru a se garanta că nu se percep consumatorilor rate ale dobânzii aferente creditului, dobânzi anuale efective sau costuri totale ale creditului excesiv de ridicate.”</w:t>
            </w:r>
          </w:p>
          <w:p w14:paraId="0AF379F0" w14:textId="77777777" w:rsidR="000C4EAF" w:rsidRPr="00384075" w:rsidRDefault="00AD76ED" w:rsidP="0050365C">
            <w:pPr>
              <w:spacing w:before="120" w:after="120"/>
              <w:jc w:val="both"/>
              <w:rPr>
                <w:sz w:val="24"/>
                <w:szCs w:val="24"/>
              </w:rPr>
            </w:pPr>
            <w:r w:rsidRPr="00384075">
              <w:rPr>
                <w:sz w:val="24"/>
                <w:szCs w:val="24"/>
              </w:rPr>
              <w:t xml:space="preserve">Astfel, în scopul protejării consumatorilor cu privire la perceperea de costuri excesiv de ridicate, dispozițiile art. (4)-(6) și art. 12 din Legea nr. 243/2024 privind protecţia consumatorilor cu privire la costul total al creditării şi la cesiunea de creanţe, se aplică entităților prevăzute de art.1 din legea respectivă, considerându-se că legislația națională în vigoare la acest moment, de plafonare a DAE, a dobânzii </w:t>
            </w:r>
            <w:r w:rsidRPr="00384075">
              <w:rPr>
                <w:sz w:val="24"/>
                <w:szCs w:val="24"/>
              </w:rPr>
              <w:lastRenderedPageBreak/>
              <w:t>contractuale percepute și a valorii totale</w:t>
            </w:r>
            <w:r w:rsidR="002D2ECB" w:rsidRPr="00384075">
              <w:rPr>
                <w:sz w:val="24"/>
                <w:szCs w:val="24"/>
              </w:rPr>
              <w:t xml:space="preserve"> plătibile</w:t>
            </w:r>
            <w:r w:rsidRPr="00384075">
              <w:rPr>
                <w:sz w:val="24"/>
                <w:szCs w:val="24"/>
              </w:rPr>
              <w:t xml:space="preserve"> a creditului, este suficientă și poate fi indicată drept transpunere a </w:t>
            </w:r>
            <w:r w:rsidR="001C0E03" w:rsidRPr="00384075">
              <w:rPr>
                <w:sz w:val="24"/>
                <w:szCs w:val="24"/>
              </w:rPr>
              <w:t xml:space="preserve">prevederilor </w:t>
            </w:r>
            <w:r w:rsidRPr="00384075">
              <w:rPr>
                <w:sz w:val="24"/>
                <w:szCs w:val="24"/>
              </w:rPr>
              <w:t>art.</w:t>
            </w:r>
            <w:r w:rsidR="00CB7A66" w:rsidRPr="00384075">
              <w:rPr>
                <w:sz w:val="24"/>
                <w:szCs w:val="24"/>
              </w:rPr>
              <w:t xml:space="preserve"> </w:t>
            </w:r>
            <w:r w:rsidRPr="00384075">
              <w:rPr>
                <w:sz w:val="24"/>
                <w:szCs w:val="24"/>
              </w:rPr>
              <w:t>31 alin. (1) din Directiv</w:t>
            </w:r>
            <w:r w:rsidR="001C0E03" w:rsidRPr="00384075">
              <w:rPr>
                <w:sz w:val="24"/>
                <w:szCs w:val="24"/>
              </w:rPr>
              <w:t>a 2023/2225</w:t>
            </w:r>
            <w:r w:rsidRPr="00384075">
              <w:rPr>
                <w:sz w:val="24"/>
                <w:szCs w:val="24"/>
              </w:rPr>
              <w:t xml:space="preserve"> (respectiv Legea 243/2024). </w:t>
            </w:r>
          </w:p>
          <w:p w14:paraId="3999A788" w14:textId="033A8A51" w:rsidR="00AD76ED" w:rsidRPr="00384075" w:rsidRDefault="00AD76ED" w:rsidP="0050365C">
            <w:pPr>
              <w:spacing w:before="120" w:after="120"/>
              <w:jc w:val="both"/>
              <w:rPr>
                <w:sz w:val="24"/>
                <w:szCs w:val="24"/>
              </w:rPr>
            </w:pPr>
            <w:r w:rsidRPr="00384075">
              <w:rPr>
                <w:b/>
                <w:bCs/>
                <w:sz w:val="24"/>
                <w:szCs w:val="24"/>
              </w:rPr>
              <w:t>Articolul 31 alin. (2)</w:t>
            </w:r>
            <w:r w:rsidRPr="00384075">
              <w:rPr>
                <w:sz w:val="24"/>
                <w:szCs w:val="24"/>
              </w:rPr>
              <w:t xml:space="preserve"> din Directiv</w:t>
            </w:r>
            <w:r w:rsidR="008F4B85" w:rsidRPr="00384075">
              <w:rPr>
                <w:sz w:val="24"/>
                <w:szCs w:val="24"/>
              </w:rPr>
              <w:t>a 2023/2225,</w:t>
            </w:r>
            <w:r w:rsidR="00625CA0" w:rsidRPr="00384075">
              <w:rPr>
                <w:sz w:val="24"/>
                <w:szCs w:val="24"/>
              </w:rPr>
              <w:t xml:space="preserve"> prevede că</w:t>
            </w:r>
            <w:r w:rsidRPr="00384075">
              <w:rPr>
                <w:sz w:val="24"/>
                <w:szCs w:val="24"/>
              </w:rPr>
              <w:t xml:space="preserve"> statele membre pot adopta pe teritoriul lor interdicții sau limitări privind anumite taxe </w:t>
            </w:r>
            <w:r w:rsidRPr="00384075">
              <w:rPr>
                <w:b/>
                <w:bCs/>
                <w:sz w:val="24"/>
                <w:szCs w:val="24"/>
              </w:rPr>
              <w:t>sau comisioane aplicate de creditori</w:t>
            </w:r>
            <w:r w:rsidRPr="00384075">
              <w:rPr>
                <w:sz w:val="24"/>
                <w:szCs w:val="24"/>
              </w:rPr>
              <w:t>.</w:t>
            </w:r>
            <w:r w:rsidR="00625CA0" w:rsidRPr="00384075">
              <w:rPr>
                <w:sz w:val="24"/>
                <w:szCs w:val="24"/>
              </w:rPr>
              <w:t xml:space="preserve"> Din experiența avută </w:t>
            </w:r>
            <w:r w:rsidR="00CF5181" w:rsidRPr="00384075">
              <w:rPr>
                <w:sz w:val="24"/>
                <w:szCs w:val="24"/>
              </w:rPr>
              <w:t>în activitatea de supraveghere și control în domeniul serviciilor financiare</w:t>
            </w:r>
            <w:r w:rsidR="00625CA0" w:rsidRPr="00384075">
              <w:rPr>
                <w:sz w:val="24"/>
                <w:szCs w:val="24"/>
              </w:rPr>
              <w:t xml:space="preserve"> și din cazurile</w:t>
            </w:r>
            <w:r w:rsidR="00CF5181" w:rsidRPr="00384075">
              <w:rPr>
                <w:sz w:val="24"/>
                <w:szCs w:val="24"/>
              </w:rPr>
              <w:t xml:space="preserve"> punctuale</w:t>
            </w:r>
            <w:r w:rsidR="00625CA0" w:rsidRPr="00384075">
              <w:rPr>
                <w:sz w:val="24"/>
                <w:szCs w:val="24"/>
              </w:rPr>
              <w:t xml:space="preserve"> întâlnite în mod </w:t>
            </w:r>
            <w:r w:rsidR="00CF5181" w:rsidRPr="00384075">
              <w:rPr>
                <w:sz w:val="24"/>
                <w:szCs w:val="24"/>
              </w:rPr>
              <w:t>frecvent</w:t>
            </w:r>
            <w:r w:rsidR="00625CA0" w:rsidRPr="00384075">
              <w:rPr>
                <w:sz w:val="24"/>
                <w:szCs w:val="24"/>
              </w:rPr>
              <w:t xml:space="preserve"> pe piață, s-a ajuns la concluzia c</w:t>
            </w:r>
            <w:r w:rsidR="007439FA" w:rsidRPr="00384075">
              <w:rPr>
                <w:sz w:val="24"/>
                <w:szCs w:val="24"/>
              </w:rPr>
              <w:t>ă</w:t>
            </w:r>
            <w:r w:rsidR="00625CA0" w:rsidRPr="00384075">
              <w:rPr>
                <w:sz w:val="24"/>
                <w:szCs w:val="24"/>
              </w:rPr>
              <w:t xml:space="preserve"> tot mai mulți creditori practică</w:t>
            </w:r>
            <w:r w:rsidR="006B2F29" w:rsidRPr="00384075">
              <w:rPr>
                <w:sz w:val="24"/>
                <w:szCs w:val="24"/>
              </w:rPr>
              <w:t>/</w:t>
            </w:r>
            <w:r w:rsidR="00625CA0" w:rsidRPr="00384075">
              <w:rPr>
                <w:sz w:val="24"/>
                <w:szCs w:val="24"/>
              </w:rPr>
              <w:t>cresc în mod constant și nejustificat comisioanele permise</w:t>
            </w:r>
            <w:r w:rsidR="002D2ECB" w:rsidRPr="00384075">
              <w:rPr>
                <w:sz w:val="24"/>
                <w:szCs w:val="24"/>
              </w:rPr>
              <w:t xml:space="preserve"> de lege</w:t>
            </w:r>
            <w:r w:rsidR="00625CA0" w:rsidRPr="00384075">
              <w:rPr>
                <w:sz w:val="24"/>
                <w:szCs w:val="24"/>
              </w:rPr>
              <w:t xml:space="preserve"> în cazul acordării </w:t>
            </w:r>
            <w:r w:rsidR="002D2ECB" w:rsidRPr="00384075">
              <w:rPr>
                <w:sz w:val="24"/>
                <w:szCs w:val="24"/>
              </w:rPr>
              <w:t xml:space="preserve">creditelor de consum, respectiv comisionul de analiză dosar, comisionul de administrare credit/cont și comisionul pentru servicii prestate la cererea consumatorilor, solicitate consumatorilor, mai ales în perioada de după 11 noiembrie 2024, când a intrat în vigoare Legea </w:t>
            </w:r>
            <w:r w:rsidR="008C1656" w:rsidRPr="00384075">
              <w:rPr>
                <w:sz w:val="24"/>
                <w:szCs w:val="24"/>
              </w:rPr>
              <w:t xml:space="preserve">nr. </w:t>
            </w:r>
            <w:r w:rsidR="002D2ECB" w:rsidRPr="00384075">
              <w:rPr>
                <w:sz w:val="24"/>
                <w:szCs w:val="24"/>
              </w:rPr>
              <w:t>243/2024 care plafonează DAE, dobân</w:t>
            </w:r>
            <w:r w:rsidR="00304002" w:rsidRPr="00384075">
              <w:rPr>
                <w:sz w:val="24"/>
                <w:szCs w:val="24"/>
              </w:rPr>
              <w:t>da</w:t>
            </w:r>
            <w:r w:rsidR="002D2ECB" w:rsidRPr="00384075">
              <w:rPr>
                <w:sz w:val="24"/>
                <w:szCs w:val="24"/>
              </w:rPr>
              <w:t xml:space="preserve"> contractual</w:t>
            </w:r>
            <w:r w:rsidR="00304002" w:rsidRPr="00384075">
              <w:rPr>
                <w:sz w:val="24"/>
                <w:szCs w:val="24"/>
              </w:rPr>
              <w:t>ă</w:t>
            </w:r>
            <w:r w:rsidR="002D2ECB" w:rsidRPr="00384075">
              <w:rPr>
                <w:sz w:val="24"/>
                <w:szCs w:val="24"/>
              </w:rPr>
              <w:t xml:space="preserve"> perceput</w:t>
            </w:r>
            <w:r w:rsidR="00304002" w:rsidRPr="00384075">
              <w:rPr>
                <w:sz w:val="24"/>
                <w:szCs w:val="24"/>
              </w:rPr>
              <w:t>ă</w:t>
            </w:r>
            <w:r w:rsidR="002D2ECB" w:rsidRPr="00384075">
              <w:rPr>
                <w:sz w:val="24"/>
                <w:szCs w:val="24"/>
              </w:rPr>
              <w:t xml:space="preserve"> și valo</w:t>
            </w:r>
            <w:r w:rsidR="00304002" w:rsidRPr="00384075">
              <w:rPr>
                <w:sz w:val="24"/>
                <w:szCs w:val="24"/>
              </w:rPr>
              <w:t>area</w:t>
            </w:r>
            <w:r w:rsidR="002D2ECB" w:rsidRPr="00384075">
              <w:rPr>
                <w:sz w:val="24"/>
                <w:szCs w:val="24"/>
              </w:rPr>
              <w:t xml:space="preserve"> total</w:t>
            </w:r>
            <w:r w:rsidR="00304002" w:rsidRPr="00384075">
              <w:rPr>
                <w:sz w:val="24"/>
                <w:szCs w:val="24"/>
              </w:rPr>
              <w:t>ă</w:t>
            </w:r>
            <w:r w:rsidR="002D2ECB" w:rsidRPr="00384075">
              <w:rPr>
                <w:sz w:val="24"/>
                <w:szCs w:val="24"/>
              </w:rPr>
              <w:t xml:space="preserve"> a creditului</w:t>
            </w:r>
            <w:r w:rsidR="002F4B29" w:rsidRPr="00384075">
              <w:rPr>
                <w:sz w:val="24"/>
                <w:szCs w:val="24"/>
              </w:rPr>
              <w:t>.</w:t>
            </w:r>
          </w:p>
          <w:p w14:paraId="56BCE0D9" w14:textId="77777777" w:rsidR="00A923B4" w:rsidRPr="00384075" w:rsidRDefault="00304002" w:rsidP="0050365C">
            <w:pPr>
              <w:spacing w:before="120" w:after="120"/>
              <w:jc w:val="both"/>
              <w:rPr>
                <w:sz w:val="24"/>
                <w:szCs w:val="24"/>
              </w:rPr>
            </w:pPr>
            <w:r w:rsidRPr="00384075">
              <w:rPr>
                <w:sz w:val="24"/>
                <w:szCs w:val="24"/>
              </w:rPr>
              <w:t>Astfel, nemai</w:t>
            </w:r>
            <w:r w:rsidR="00AF7A9A" w:rsidRPr="00384075">
              <w:rPr>
                <w:sz w:val="24"/>
                <w:szCs w:val="24"/>
              </w:rPr>
              <w:t>având posibilitatea de a</w:t>
            </w:r>
            <w:r w:rsidRPr="00384075">
              <w:rPr>
                <w:sz w:val="24"/>
                <w:szCs w:val="24"/>
              </w:rPr>
              <w:t xml:space="preserve"> crește dobânzile</w:t>
            </w:r>
            <w:r w:rsidR="00CF5181" w:rsidRPr="00384075">
              <w:rPr>
                <w:sz w:val="24"/>
                <w:szCs w:val="24"/>
              </w:rPr>
              <w:t xml:space="preserve"> aferente creditului de consum</w:t>
            </w:r>
            <w:r w:rsidRPr="00384075">
              <w:rPr>
                <w:sz w:val="24"/>
                <w:szCs w:val="24"/>
              </w:rPr>
              <w:t xml:space="preserve"> în mod necontrolat</w:t>
            </w:r>
            <w:r w:rsidR="00AF7A9A" w:rsidRPr="00384075">
              <w:rPr>
                <w:sz w:val="24"/>
                <w:szCs w:val="24"/>
              </w:rPr>
              <w:t xml:space="preserve">, în conformitate cu prevederile Legii </w:t>
            </w:r>
            <w:r w:rsidR="008C1656" w:rsidRPr="00384075">
              <w:rPr>
                <w:sz w:val="24"/>
                <w:szCs w:val="24"/>
              </w:rPr>
              <w:t xml:space="preserve">nr. </w:t>
            </w:r>
            <w:r w:rsidR="00AF7A9A" w:rsidRPr="00384075">
              <w:rPr>
                <w:sz w:val="24"/>
                <w:szCs w:val="24"/>
              </w:rPr>
              <w:t xml:space="preserve">243/2024 privind protecţia consumatorilor cu privire la costul total al creditării şi la cesiunea de creanţe, anumite instituții financiare nebancare au apelat la posibilitatea de a crește, fără nicio explicație plauzibilă și în detrimentul interesului economic al consumatorului, cuantumul unuia sau mai multor comisioane permise în prezent, din cele 3 legale, compensând astfel sumele pe care le-ar fi perceput din dobânzi, dar care au fost plafonate prin Legea </w:t>
            </w:r>
            <w:r w:rsidR="008C1656" w:rsidRPr="00384075">
              <w:rPr>
                <w:sz w:val="24"/>
                <w:szCs w:val="24"/>
              </w:rPr>
              <w:t xml:space="preserve">nr. </w:t>
            </w:r>
            <w:r w:rsidR="00AF7A9A" w:rsidRPr="00384075">
              <w:rPr>
                <w:sz w:val="24"/>
                <w:szCs w:val="24"/>
              </w:rPr>
              <w:t xml:space="preserve">243/2024 la data intrării în vigoare a acesteia, respectiv 11 noiembrie 2024.  </w:t>
            </w:r>
          </w:p>
          <w:p w14:paraId="270AD9DF" w14:textId="77777777" w:rsidR="00AF7A9A" w:rsidRPr="00384075" w:rsidRDefault="008F4B85" w:rsidP="0050365C">
            <w:pPr>
              <w:spacing w:before="120" w:after="120"/>
              <w:jc w:val="both"/>
              <w:rPr>
                <w:sz w:val="24"/>
                <w:szCs w:val="24"/>
              </w:rPr>
            </w:pPr>
            <w:r w:rsidRPr="00384075">
              <w:rPr>
                <w:sz w:val="24"/>
                <w:szCs w:val="24"/>
              </w:rPr>
              <w:t>Acest fapt a fost posibil întrucât nu există în prezent nicio prevedere legală care să plafoneze nivelul comisioanelor, astfel încât să nu se mai practice abuzuri de acest fel.</w:t>
            </w:r>
            <w:r w:rsidR="00AF7A9A" w:rsidRPr="00384075">
              <w:rPr>
                <w:sz w:val="24"/>
                <w:szCs w:val="24"/>
              </w:rPr>
              <w:t xml:space="preserve"> </w:t>
            </w:r>
          </w:p>
          <w:p w14:paraId="66550F35" w14:textId="77777777" w:rsidR="00304002" w:rsidRPr="00384075" w:rsidRDefault="00AF7A9A" w:rsidP="0050365C">
            <w:pPr>
              <w:spacing w:before="120" w:after="120"/>
              <w:jc w:val="both"/>
              <w:rPr>
                <w:sz w:val="24"/>
                <w:szCs w:val="24"/>
              </w:rPr>
            </w:pPr>
            <w:r w:rsidRPr="00384075">
              <w:rPr>
                <w:sz w:val="24"/>
                <w:szCs w:val="24"/>
              </w:rPr>
              <w:t>A</w:t>
            </w:r>
            <w:r w:rsidR="00304002" w:rsidRPr="00384075">
              <w:rPr>
                <w:sz w:val="24"/>
                <w:szCs w:val="24"/>
              </w:rPr>
              <w:t>vând în vedere</w:t>
            </w:r>
            <w:r w:rsidRPr="00384075">
              <w:rPr>
                <w:sz w:val="24"/>
                <w:szCs w:val="24"/>
              </w:rPr>
              <w:t xml:space="preserve"> cele sus-menționate, precum și </w:t>
            </w:r>
            <w:r w:rsidR="00304002" w:rsidRPr="00384075">
              <w:rPr>
                <w:sz w:val="24"/>
                <w:szCs w:val="24"/>
              </w:rPr>
              <w:t>faptul că, până în prezent, cuantumul comisioanelor legale permise nu au fost plafonate</w:t>
            </w:r>
            <w:r w:rsidR="00717013" w:rsidRPr="00384075">
              <w:rPr>
                <w:sz w:val="24"/>
                <w:szCs w:val="24"/>
              </w:rPr>
              <w:t xml:space="preserve"> în niciun mod</w:t>
            </w:r>
            <w:r w:rsidR="00304002" w:rsidRPr="00384075">
              <w:rPr>
                <w:sz w:val="24"/>
                <w:szCs w:val="24"/>
              </w:rPr>
              <w:t xml:space="preserve">, putând </w:t>
            </w:r>
            <w:r w:rsidR="00CF5181" w:rsidRPr="00384075">
              <w:rPr>
                <w:sz w:val="24"/>
                <w:szCs w:val="24"/>
              </w:rPr>
              <w:t>urca până la</w:t>
            </w:r>
            <w:r w:rsidR="00304002" w:rsidRPr="00384075">
              <w:rPr>
                <w:sz w:val="24"/>
                <w:szCs w:val="24"/>
              </w:rPr>
              <w:t xml:space="preserve"> orice valori,</w:t>
            </w:r>
            <w:r w:rsidR="00CB7A66" w:rsidRPr="00384075">
              <w:rPr>
                <w:sz w:val="24"/>
                <w:szCs w:val="24"/>
              </w:rPr>
              <w:t xml:space="preserve"> în orice moment,</w:t>
            </w:r>
            <w:r w:rsidR="00304002" w:rsidRPr="00384075">
              <w:rPr>
                <w:sz w:val="24"/>
                <w:szCs w:val="24"/>
              </w:rPr>
              <w:t xml:space="preserve"> s-a considerat oportun</w:t>
            </w:r>
            <w:r w:rsidR="00717013" w:rsidRPr="00384075">
              <w:rPr>
                <w:sz w:val="24"/>
                <w:szCs w:val="24"/>
              </w:rPr>
              <w:t>ă reglementarea acestui aspect</w:t>
            </w:r>
            <w:r w:rsidR="008F4B85" w:rsidRPr="00384075">
              <w:rPr>
                <w:sz w:val="24"/>
                <w:szCs w:val="24"/>
              </w:rPr>
              <w:t xml:space="preserve">, având în vedere </w:t>
            </w:r>
            <w:r w:rsidR="00A923B4" w:rsidRPr="00384075">
              <w:rPr>
                <w:sz w:val="24"/>
                <w:szCs w:val="24"/>
              </w:rPr>
              <w:t>posibilitatea</w:t>
            </w:r>
            <w:r w:rsidR="008F4B85" w:rsidRPr="00384075">
              <w:rPr>
                <w:sz w:val="24"/>
                <w:szCs w:val="24"/>
              </w:rPr>
              <w:t xml:space="preserve"> oferită prin articolul 31 alin. (2) din Directiva 2023/2225</w:t>
            </w:r>
            <w:r w:rsidR="00717013" w:rsidRPr="00384075">
              <w:rPr>
                <w:sz w:val="24"/>
                <w:szCs w:val="24"/>
              </w:rPr>
              <w:t>.</w:t>
            </w:r>
            <w:r w:rsidR="00C737DF" w:rsidRPr="00384075">
              <w:rPr>
                <w:sz w:val="24"/>
                <w:szCs w:val="24"/>
              </w:rPr>
              <w:t xml:space="preserve"> Deși, conform respectivului alineat, legiuitorul român are libertatea chiar de a interzice perceperea oricărui comision, s-a ales varianta de plafonare a acestora.  </w:t>
            </w:r>
            <w:r w:rsidR="00717013" w:rsidRPr="00384075">
              <w:rPr>
                <w:sz w:val="24"/>
                <w:szCs w:val="24"/>
              </w:rPr>
              <w:t xml:space="preserve"> </w:t>
            </w:r>
          </w:p>
          <w:p w14:paraId="6835643B" w14:textId="1BF942C3" w:rsidR="0050365C" w:rsidRPr="00384075" w:rsidRDefault="00270421" w:rsidP="0050365C">
            <w:pPr>
              <w:spacing w:before="120" w:after="120"/>
              <w:jc w:val="both"/>
              <w:rPr>
                <w:sz w:val="24"/>
                <w:szCs w:val="24"/>
              </w:rPr>
            </w:pPr>
            <w:r w:rsidRPr="00384075">
              <w:rPr>
                <w:sz w:val="24"/>
                <w:szCs w:val="24"/>
              </w:rPr>
              <w:t xml:space="preserve">Cu privire la comisionul de analiză dosar, </w:t>
            </w:r>
            <w:r w:rsidR="00AF7A9A" w:rsidRPr="00384075">
              <w:rPr>
                <w:sz w:val="24"/>
                <w:szCs w:val="24"/>
              </w:rPr>
              <w:t>care</w:t>
            </w:r>
            <w:r w:rsidR="00CB7A66" w:rsidRPr="00384075">
              <w:rPr>
                <w:sz w:val="24"/>
                <w:szCs w:val="24"/>
              </w:rPr>
              <w:t xml:space="preserve"> </w:t>
            </w:r>
            <w:r w:rsidR="00AF7A9A" w:rsidRPr="00384075">
              <w:rPr>
                <w:sz w:val="24"/>
                <w:szCs w:val="24"/>
              </w:rPr>
              <w:t xml:space="preserve">este </w:t>
            </w:r>
            <w:r w:rsidRPr="00384075">
              <w:rPr>
                <w:sz w:val="24"/>
                <w:szCs w:val="24"/>
              </w:rPr>
              <w:t>o taxă</w:t>
            </w:r>
            <w:r w:rsidR="002F4B29" w:rsidRPr="00384075">
              <w:rPr>
                <w:sz w:val="24"/>
                <w:szCs w:val="24"/>
              </w:rPr>
              <w:t xml:space="preserve"> percepută</w:t>
            </w:r>
            <w:r w:rsidRPr="00384075">
              <w:rPr>
                <w:sz w:val="24"/>
                <w:szCs w:val="24"/>
              </w:rPr>
              <w:t xml:space="preserve"> pentru evaluarea eligibilității </w:t>
            </w:r>
            <w:r w:rsidR="00CB7A66" w:rsidRPr="00384075">
              <w:rPr>
                <w:sz w:val="24"/>
                <w:szCs w:val="24"/>
              </w:rPr>
              <w:t>ce</w:t>
            </w:r>
            <w:r w:rsidR="00AF7A9A" w:rsidRPr="00384075">
              <w:rPr>
                <w:sz w:val="24"/>
                <w:szCs w:val="24"/>
              </w:rPr>
              <w:t xml:space="preserve"> </w:t>
            </w:r>
            <w:r w:rsidRPr="00384075">
              <w:rPr>
                <w:sz w:val="24"/>
                <w:szCs w:val="24"/>
              </w:rPr>
              <w:t>poate fi justificată, valoarea sa trebuie să fie</w:t>
            </w:r>
            <w:r w:rsidR="00CB7A66" w:rsidRPr="00384075">
              <w:rPr>
                <w:sz w:val="24"/>
                <w:szCs w:val="24"/>
              </w:rPr>
              <w:t xml:space="preserve"> </w:t>
            </w:r>
            <w:r w:rsidRPr="00384075">
              <w:rPr>
                <w:sz w:val="24"/>
                <w:szCs w:val="24"/>
              </w:rPr>
              <w:t>rezonabilă și să reflecte efortul real al creditorului. Un comision mare, aplicat automat, fără o justificare a complexității analizei pentru fiecare caz în parte și neluând în considerare valoarea total</w:t>
            </w:r>
            <w:r w:rsidR="00B770AA" w:rsidRPr="00384075">
              <w:rPr>
                <w:sz w:val="24"/>
                <w:szCs w:val="24"/>
              </w:rPr>
              <w:t>ă</w:t>
            </w:r>
            <w:r w:rsidRPr="00384075">
              <w:rPr>
                <w:sz w:val="24"/>
                <w:szCs w:val="24"/>
              </w:rPr>
              <w:t xml:space="preserve"> împrumutată este un comportament absolut injust față de consumatori, putând duce la împovărarea artificială a consumatorului, care poate ajunge chiar în executare silită pentru imposibilitatea efectuării plăților.</w:t>
            </w:r>
          </w:p>
          <w:p w14:paraId="63530E90" w14:textId="6F1208D8" w:rsidR="00A923B4" w:rsidRPr="00384075" w:rsidRDefault="00A923B4" w:rsidP="0050365C">
            <w:pPr>
              <w:spacing w:before="120" w:after="120"/>
              <w:jc w:val="both"/>
              <w:rPr>
                <w:sz w:val="24"/>
                <w:szCs w:val="24"/>
              </w:rPr>
            </w:pPr>
            <w:r w:rsidRPr="00384075">
              <w:rPr>
                <w:sz w:val="24"/>
                <w:szCs w:val="24"/>
              </w:rPr>
              <w:t>Mai mult decât atât, anumite instituții financiare nebancare, contrar diligenței profesionale, rețin comisionul de analiză dosar din valoarea totală a creditului (suma efectiv împrumutată), astfel că suma efectiv creditată în contul bancar al împrumutatului</w:t>
            </w:r>
            <w:r w:rsidR="0095698E" w:rsidRPr="00384075">
              <w:rPr>
                <w:sz w:val="24"/>
                <w:szCs w:val="24"/>
              </w:rPr>
              <w:t>/care ajunge la consumator în mod direct,</w:t>
            </w:r>
            <w:r w:rsidRPr="00384075">
              <w:rPr>
                <w:sz w:val="24"/>
                <w:szCs w:val="24"/>
              </w:rPr>
              <w:t xml:space="preserve"> este mai mic</w:t>
            </w:r>
            <w:r w:rsidR="002F4B29" w:rsidRPr="00384075">
              <w:rPr>
                <w:sz w:val="24"/>
                <w:szCs w:val="24"/>
              </w:rPr>
              <w:t>ă</w:t>
            </w:r>
            <w:r w:rsidRPr="00384075">
              <w:rPr>
                <w:sz w:val="24"/>
                <w:szCs w:val="24"/>
              </w:rPr>
              <w:t xml:space="preserve"> cu valoarea comisionului de analiză dosar, fără însă a informa consumatorul despre faptul că ace</w:t>
            </w:r>
            <w:r w:rsidR="00B770AA" w:rsidRPr="00384075">
              <w:rPr>
                <w:sz w:val="24"/>
                <w:szCs w:val="24"/>
              </w:rPr>
              <w:t>a</w:t>
            </w:r>
            <w:r w:rsidRPr="00384075">
              <w:rPr>
                <w:sz w:val="24"/>
                <w:szCs w:val="24"/>
              </w:rPr>
              <w:t>st</w:t>
            </w:r>
            <w:r w:rsidR="0095698E" w:rsidRPr="00384075">
              <w:rPr>
                <w:sz w:val="24"/>
                <w:szCs w:val="24"/>
              </w:rPr>
              <w:t>ă sumă</w:t>
            </w:r>
            <w:r w:rsidRPr="00384075">
              <w:rPr>
                <w:sz w:val="24"/>
                <w:szCs w:val="24"/>
              </w:rPr>
              <w:t xml:space="preserve"> va fi purtăto</w:t>
            </w:r>
            <w:r w:rsidR="0095698E" w:rsidRPr="00384075">
              <w:rPr>
                <w:sz w:val="24"/>
                <w:szCs w:val="24"/>
              </w:rPr>
              <w:t>a</w:t>
            </w:r>
            <w:r w:rsidRPr="00384075">
              <w:rPr>
                <w:sz w:val="24"/>
                <w:szCs w:val="24"/>
              </w:rPr>
              <w:t>r</w:t>
            </w:r>
            <w:r w:rsidR="0095698E" w:rsidRPr="00384075">
              <w:rPr>
                <w:sz w:val="24"/>
                <w:szCs w:val="24"/>
              </w:rPr>
              <w:t>e</w:t>
            </w:r>
            <w:r w:rsidRPr="00384075">
              <w:rPr>
                <w:sz w:val="24"/>
                <w:szCs w:val="24"/>
              </w:rPr>
              <w:t xml:space="preserve"> de dobândă și dobândă penalizatoare, după caz, conform termenilor creditului, pe toată durata contractuală, care se poate întinde până la 5 ani. În consecință, cu cât cuantumul comis</w:t>
            </w:r>
            <w:r w:rsidR="00B770AA" w:rsidRPr="00384075">
              <w:rPr>
                <w:sz w:val="24"/>
                <w:szCs w:val="24"/>
              </w:rPr>
              <w:t>i</w:t>
            </w:r>
            <w:r w:rsidRPr="00384075">
              <w:rPr>
                <w:sz w:val="24"/>
                <w:szCs w:val="24"/>
              </w:rPr>
              <w:t>onului de analiză dosar este mai mare, cu atât dobânda plătită creditorului pe această sumă este mai mare. Acesta constituie unul dintre motivele pentru care cuantumul comisionului de analiză dosar crește nejustificat, în anumite cazuri.</w:t>
            </w:r>
            <w:r w:rsidR="0095698E" w:rsidRPr="00384075">
              <w:rPr>
                <w:sz w:val="24"/>
                <w:szCs w:val="24"/>
              </w:rPr>
              <w:t xml:space="preserve"> Pentru a stopa astfel de abuzuri, bazate pe lipsa de înțelegere</w:t>
            </w:r>
            <w:r w:rsidR="002F4B29" w:rsidRPr="00384075">
              <w:rPr>
                <w:sz w:val="24"/>
                <w:szCs w:val="24"/>
              </w:rPr>
              <w:t xml:space="preserve"> de către anumiți consumatori, </w:t>
            </w:r>
            <w:r w:rsidR="0095698E" w:rsidRPr="00384075">
              <w:rPr>
                <w:sz w:val="24"/>
                <w:szCs w:val="24"/>
              </w:rPr>
              <w:t xml:space="preserve"> a termenilor de tipul </w:t>
            </w:r>
            <w:r w:rsidR="0095698E" w:rsidRPr="00384075">
              <w:rPr>
                <w:i/>
                <w:iCs/>
                <w:sz w:val="24"/>
                <w:szCs w:val="24"/>
              </w:rPr>
              <w:t>„valoare totală a creditului”, „costul total al creditului</w:t>
            </w:r>
            <w:r w:rsidR="00E84220" w:rsidRPr="00384075">
              <w:rPr>
                <w:i/>
                <w:iCs/>
                <w:sz w:val="24"/>
                <w:szCs w:val="24"/>
              </w:rPr>
              <w:t xml:space="preserve"> pentru consumator</w:t>
            </w:r>
            <w:r w:rsidR="0095698E" w:rsidRPr="00384075">
              <w:rPr>
                <w:i/>
                <w:iCs/>
                <w:sz w:val="24"/>
                <w:szCs w:val="24"/>
              </w:rPr>
              <w:t>”</w:t>
            </w:r>
            <w:r w:rsidR="0095698E" w:rsidRPr="00384075">
              <w:rPr>
                <w:sz w:val="24"/>
                <w:szCs w:val="24"/>
              </w:rPr>
              <w:t xml:space="preserve">, </w:t>
            </w:r>
            <w:r w:rsidR="0095698E" w:rsidRPr="00384075">
              <w:rPr>
                <w:i/>
                <w:iCs/>
                <w:sz w:val="24"/>
                <w:szCs w:val="24"/>
              </w:rPr>
              <w:t xml:space="preserve">„valoarea totală plătibilă </w:t>
            </w:r>
            <w:r w:rsidR="00936FF9" w:rsidRPr="00384075">
              <w:rPr>
                <w:i/>
                <w:iCs/>
                <w:sz w:val="24"/>
                <w:szCs w:val="24"/>
              </w:rPr>
              <w:t>de către consumator</w:t>
            </w:r>
            <w:r w:rsidR="0095698E" w:rsidRPr="00384075">
              <w:rPr>
                <w:i/>
                <w:iCs/>
                <w:sz w:val="24"/>
                <w:szCs w:val="24"/>
              </w:rPr>
              <w:t>”</w:t>
            </w:r>
            <w:r w:rsidR="006206AE" w:rsidRPr="00384075">
              <w:rPr>
                <w:i/>
                <w:iCs/>
                <w:sz w:val="24"/>
                <w:szCs w:val="24"/>
              </w:rPr>
              <w:t xml:space="preserve">, </w:t>
            </w:r>
            <w:r w:rsidR="00936FF9" w:rsidRPr="00384075">
              <w:rPr>
                <w:sz w:val="24"/>
                <w:szCs w:val="24"/>
              </w:rPr>
              <w:t xml:space="preserve">așa cum sunt definite la articolul 3 din </w:t>
            </w:r>
            <w:r w:rsidR="008C1656" w:rsidRPr="00384075">
              <w:rPr>
                <w:sz w:val="24"/>
                <w:szCs w:val="24"/>
              </w:rPr>
              <w:t>actul normativ</w:t>
            </w:r>
            <w:r w:rsidR="00936FF9" w:rsidRPr="00384075">
              <w:rPr>
                <w:sz w:val="24"/>
                <w:szCs w:val="24"/>
              </w:rPr>
              <w:t xml:space="preserve">, </w:t>
            </w:r>
            <w:r w:rsidR="006206AE" w:rsidRPr="00384075">
              <w:rPr>
                <w:sz w:val="24"/>
                <w:szCs w:val="24"/>
              </w:rPr>
              <w:t xml:space="preserve">s-a considerat necesară introducerea unor prevederi în textul </w:t>
            </w:r>
            <w:r w:rsidR="008C1656" w:rsidRPr="00384075">
              <w:rPr>
                <w:sz w:val="24"/>
                <w:szCs w:val="24"/>
              </w:rPr>
              <w:t>actului</w:t>
            </w:r>
            <w:r w:rsidR="006206AE" w:rsidRPr="00384075">
              <w:rPr>
                <w:sz w:val="24"/>
                <w:szCs w:val="24"/>
              </w:rPr>
              <w:t xml:space="preserve"> de transpunere a Directivei 2023/2225</w:t>
            </w:r>
            <w:r w:rsidR="005B29E7" w:rsidRPr="00384075">
              <w:rPr>
                <w:sz w:val="24"/>
                <w:szCs w:val="24"/>
              </w:rPr>
              <w:t xml:space="preserve"> prin care</w:t>
            </w:r>
            <w:r w:rsidR="006206AE" w:rsidRPr="00384075">
              <w:rPr>
                <w:sz w:val="24"/>
                <w:szCs w:val="24"/>
              </w:rPr>
              <w:t xml:space="preserve"> </w:t>
            </w:r>
            <w:r w:rsidR="005B29E7" w:rsidRPr="00384075">
              <w:rPr>
                <w:sz w:val="24"/>
                <w:szCs w:val="24"/>
              </w:rPr>
              <w:t>c</w:t>
            </w:r>
            <w:r w:rsidR="006206AE" w:rsidRPr="00384075">
              <w:rPr>
                <w:sz w:val="24"/>
                <w:szCs w:val="24"/>
              </w:rPr>
              <w:t>omisionul de analiză dosar va fi stabilit în sumă fixă pentru fiecare interval al cuantumurilor minime și maxime ale valorii totale a creditului prevăzute la alin. (5) lit. a) - f), aceeaşi sumă fiind percepută tuturor consumatorilor cu acelaşi tip de credit în cadrul aceleiaşi entități.</w:t>
            </w:r>
          </w:p>
          <w:p w14:paraId="04629012" w14:textId="77777777" w:rsidR="00CB7A66" w:rsidRPr="00384075" w:rsidRDefault="00270421" w:rsidP="0050365C">
            <w:pPr>
              <w:spacing w:before="120" w:after="120"/>
              <w:jc w:val="both"/>
              <w:rPr>
                <w:sz w:val="24"/>
                <w:szCs w:val="24"/>
              </w:rPr>
            </w:pPr>
            <w:r w:rsidRPr="00384075">
              <w:rPr>
                <w:sz w:val="24"/>
                <w:szCs w:val="24"/>
              </w:rPr>
              <w:t xml:space="preserve">Comisionul de administrare a creditului, </w:t>
            </w:r>
            <w:r w:rsidR="002F4B29" w:rsidRPr="00384075">
              <w:rPr>
                <w:sz w:val="24"/>
                <w:szCs w:val="24"/>
              </w:rPr>
              <w:t xml:space="preserve">cel mai </w:t>
            </w:r>
            <w:r w:rsidRPr="00384075">
              <w:rPr>
                <w:sz w:val="24"/>
                <w:szCs w:val="24"/>
              </w:rPr>
              <w:t xml:space="preserve">adesea perceput lunar, ar trebui să acopere costurile efective de gestionare a creditului pe parcursul derulării sale. </w:t>
            </w:r>
            <w:r w:rsidR="00CB7A66" w:rsidRPr="00384075">
              <w:rPr>
                <w:sz w:val="24"/>
                <w:szCs w:val="24"/>
              </w:rPr>
              <w:t>Comisionul de administrare se percepe pentru</w:t>
            </w:r>
            <w:r w:rsidR="008C1656" w:rsidRPr="00384075">
              <w:rPr>
                <w:sz w:val="24"/>
                <w:szCs w:val="24"/>
              </w:rPr>
              <w:t xml:space="preserve"> </w:t>
            </w:r>
            <w:r w:rsidR="00CB7A66" w:rsidRPr="00384075">
              <w:rPr>
                <w:sz w:val="24"/>
                <w:szCs w:val="24"/>
              </w:rPr>
              <w:t>monitorizarea/</w:t>
            </w:r>
            <w:r w:rsidR="008C1656" w:rsidRPr="00384075">
              <w:rPr>
                <w:sz w:val="24"/>
                <w:szCs w:val="24"/>
              </w:rPr>
              <w:t xml:space="preserve"> </w:t>
            </w:r>
            <w:r w:rsidR="00CB7A66" w:rsidRPr="00384075">
              <w:rPr>
                <w:sz w:val="24"/>
                <w:szCs w:val="24"/>
              </w:rPr>
              <w:t>înregistrarea/</w:t>
            </w:r>
            <w:r w:rsidR="008C1656" w:rsidRPr="00384075">
              <w:rPr>
                <w:sz w:val="24"/>
                <w:szCs w:val="24"/>
              </w:rPr>
              <w:t xml:space="preserve"> </w:t>
            </w:r>
            <w:r w:rsidR="00CB7A66" w:rsidRPr="00384075">
              <w:rPr>
                <w:sz w:val="24"/>
                <w:szCs w:val="24"/>
              </w:rPr>
              <w:t>efectuarea de operaţiuni de către creditor în scopul utilizării/rambursării creditului acordat consumatorului</w:t>
            </w:r>
            <w:r w:rsidR="008A18D6" w:rsidRPr="00384075">
              <w:rPr>
                <w:sz w:val="24"/>
                <w:szCs w:val="24"/>
              </w:rPr>
              <w:t xml:space="preserve"> și trebuie să corespundă costurilor efective ale creditorului, să se limiteze la acoperirea acestora şi să nu conducă la obţinerea de venituri suplimentare pentru acesta.</w:t>
            </w:r>
            <w:r w:rsidR="00CB7A66" w:rsidRPr="00384075">
              <w:rPr>
                <w:sz w:val="24"/>
                <w:szCs w:val="24"/>
              </w:rPr>
              <w:t xml:space="preserve"> </w:t>
            </w:r>
          </w:p>
          <w:p w14:paraId="543DA947" w14:textId="77777777" w:rsidR="00270421" w:rsidRPr="00384075" w:rsidRDefault="00270421" w:rsidP="0050365C">
            <w:pPr>
              <w:spacing w:before="120" w:after="120"/>
              <w:jc w:val="both"/>
              <w:rPr>
                <w:sz w:val="24"/>
                <w:szCs w:val="24"/>
              </w:rPr>
            </w:pPr>
            <w:r w:rsidRPr="00384075">
              <w:rPr>
                <w:sz w:val="24"/>
                <w:szCs w:val="24"/>
              </w:rPr>
              <w:lastRenderedPageBreak/>
              <w:t xml:space="preserve">Adeseori valoarea </w:t>
            </w:r>
            <w:r w:rsidR="00CF5181" w:rsidRPr="00384075">
              <w:rPr>
                <w:sz w:val="24"/>
                <w:szCs w:val="24"/>
              </w:rPr>
              <w:t>percepută de creditor n</w:t>
            </w:r>
            <w:r w:rsidRPr="00384075">
              <w:rPr>
                <w:sz w:val="24"/>
                <w:szCs w:val="24"/>
              </w:rPr>
              <w:t>u corespunde niciunui serviciu real și distinct prestat lunar consumatorului, fiind doar o modalitate de a majora</w:t>
            </w:r>
            <w:r w:rsidR="00CF5181" w:rsidRPr="00384075">
              <w:rPr>
                <w:sz w:val="24"/>
                <w:szCs w:val="24"/>
              </w:rPr>
              <w:t xml:space="preserve"> artificial</w:t>
            </w:r>
            <w:r w:rsidRPr="00384075">
              <w:rPr>
                <w:sz w:val="24"/>
                <w:szCs w:val="24"/>
              </w:rPr>
              <w:t xml:space="preserve"> costul creditului.</w:t>
            </w:r>
            <w:r w:rsidR="00CF5181" w:rsidRPr="00384075">
              <w:rPr>
                <w:sz w:val="24"/>
                <w:szCs w:val="24"/>
              </w:rPr>
              <w:t xml:space="preserve"> </w:t>
            </w:r>
          </w:p>
          <w:p w14:paraId="5C93DF1C" w14:textId="0794C235" w:rsidR="00D560A6" w:rsidRPr="00384075" w:rsidRDefault="00CB7A66" w:rsidP="0050365C">
            <w:pPr>
              <w:spacing w:before="120" w:after="120"/>
              <w:jc w:val="both"/>
              <w:rPr>
                <w:sz w:val="24"/>
                <w:szCs w:val="24"/>
              </w:rPr>
            </w:pPr>
            <w:r w:rsidRPr="00384075">
              <w:rPr>
                <w:sz w:val="24"/>
                <w:szCs w:val="24"/>
              </w:rPr>
              <w:t xml:space="preserve">Conform legislației în vigoare la acest moment, comisionul de administrare credit se poate exprima în sumă fixă </w:t>
            </w:r>
            <w:r w:rsidRPr="00384075">
              <w:rPr>
                <w:b/>
                <w:bCs/>
                <w:sz w:val="24"/>
                <w:szCs w:val="24"/>
              </w:rPr>
              <w:t>sau se poate calcula ca procent</w:t>
            </w:r>
            <w:r w:rsidRPr="00384075">
              <w:rPr>
                <w:sz w:val="24"/>
                <w:szCs w:val="24"/>
              </w:rPr>
              <w:t xml:space="preserve">, </w:t>
            </w:r>
            <w:r w:rsidR="00E84220" w:rsidRPr="00384075">
              <w:rPr>
                <w:sz w:val="24"/>
                <w:szCs w:val="24"/>
              </w:rPr>
              <w:t>procentul</w:t>
            </w:r>
            <w:r w:rsidRPr="00384075">
              <w:rPr>
                <w:sz w:val="24"/>
                <w:szCs w:val="24"/>
              </w:rPr>
              <w:t xml:space="preserve"> fiind aplicat la soldul curent al creditului (</w:t>
            </w:r>
            <w:r w:rsidR="00E84220" w:rsidRPr="00384075">
              <w:rPr>
                <w:sz w:val="24"/>
                <w:szCs w:val="24"/>
              </w:rPr>
              <w:t xml:space="preserve">restul de </w:t>
            </w:r>
            <w:r w:rsidRPr="00384075">
              <w:rPr>
                <w:sz w:val="24"/>
                <w:szCs w:val="24"/>
              </w:rPr>
              <w:t>principal rămas de rambursat după plata fiec</w:t>
            </w:r>
            <w:r w:rsidR="00B770AA" w:rsidRPr="00384075">
              <w:rPr>
                <w:sz w:val="24"/>
                <w:szCs w:val="24"/>
              </w:rPr>
              <w:t>ă</w:t>
            </w:r>
            <w:r w:rsidRPr="00384075">
              <w:rPr>
                <w:sz w:val="24"/>
                <w:szCs w:val="24"/>
              </w:rPr>
              <w:t>rei rate lunare</w:t>
            </w:r>
            <w:r w:rsidR="002E0FF5" w:rsidRPr="00384075">
              <w:rPr>
                <w:sz w:val="24"/>
                <w:szCs w:val="24"/>
              </w:rPr>
              <w:t>) trebuind, în mod evident, ca, pe măsură ce au loc rambursări ale ratei lunare, principalul de rambursat să scadă, automat scăzând și valoarea comisionului de administrare credit de plată lunar sau anual, conform termenilor contractuali</w:t>
            </w:r>
            <w:r w:rsidRPr="00384075">
              <w:rPr>
                <w:sz w:val="24"/>
                <w:szCs w:val="24"/>
              </w:rPr>
              <w:t>.</w:t>
            </w:r>
            <w:r w:rsidR="002E0FF5" w:rsidRPr="00384075">
              <w:rPr>
                <w:sz w:val="24"/>
                <w:szCs w:val="24"/>
              </w:rPr>
              <w:t xml:space="preserve"> Din practică s-a observat faptul că anumiți creditori percep comisionul de administrare credit </w:t>
            </w:r>
            <w:r w:rsidR="00D560A6" w:rsidRPr="00384075">
              <w:rPr>
                <w:sz w:val="24"/>
                <w:szCs w:val="24"/>
              </w:rPr>
              <w:t xml:space="preserve">calculat ca procent </w:t>
            </w:r>
            <w:r w:rsidR="002E0FF5" w:rsidRPr="00384075">
              <w:rPr>
                <w:sz w:val="24"/>
                <w:szCs w:val="24"/>
              </w:rPr>
              <w:t>la într</w:t>
            </w:r>
            <w:r w:rsidR="00D560A6" w:rsidRPr="00384075">
              <w:rPr>
                <w:sz w:val="24"/>
                <w:szCs w:val="24"/>
              </w:rPr>
              <w:t>e</w:t>
            </w:r>
            <w:r w:rsidR="002E0FF5" w:rsidRPr="00384075">
              <w:rPr>
                <w:sz w:val="24"/>
                <w:szCs w:val="24"/>
              </w:rPr>
              <w:t>g</w:t>
            </w:r>
            <w:r w:rsidR="00D560A6" w:rsidRPr="00384075">
              <w:rPr>
                <w:sz w:val="24"/>
                <w:szCs w:val="24"/>
              </w:rPr>
              <w:t>ul principal (suma totală împrumutată), pe toată perioada contractuală având o valoare constantă, și anume valoarea cea mai mare, fără ca aceasta să descrească pe măsura plăților ratelor lunare.</w:t>
            </w:r>
          </w:p>
          <w:p w14:paraId="2FE3189A" w14:textId="77777777" w:rsidR="00CB7A66" w:rsidRPr="00384075" w:rsidRDefault="00D560A6" w:rsidP="0050365C">
            <w:pPr>
              <w:spacing w:before="120" w:after="120"/>
              <w:jc w:val="both"/>
              <w:rPr>
                <w:sz w:val="24"/>
                <w:szCs w:val="24"/>
              </w:rPr>
            </w:pPr>
            <w:r w:rsidRPr="00384075">
              <w:rPr>
                <w:sz w:val="24"/>
                <w:szCs w:val="24"/>
              </w:rPr>
              <w:t xml:space="preserve">Altă practică constatată în activitatea de supraveghere și control a </w:t>
            </w:r>
            <w:r w:rsidR="002F4B29" w:rsidRPr="00384075">
              <w:rPr>
                <w:sz w:val="24"/>
                <w:szCs w:val="24"/>
              </w:rPr>
              <w:t xml:space="preserve">anumitor </w:t>
            </w:r>
            <w:r w:rsidRPr="00384075">
              <w:rPr>
                <w:sz w:val="24"/>
                <w:szCs w:val="24"/>
              </w:rPr>
              <w:t>creditori este aceea de a percepe comisionul credit calculat ca procent la rata lunară (alcătuită din principalul rămas de rambursat + dobânda aferentă), ceea ce este vădit în contradicție cu legislația în vigoare și care crește costurile pentru consumator.</w:t>
            </w:r>
            <w:r w:rsidR="00CB7A66" w:rsidRPr="00384075">
              <w:rPr>
                <w:sz w:val="24"/>
                <w:szCs w:val="24"/>
              </w:rPr>
              <w:t xml:space="preserve">  </w:t>
            </w:r>
          </w:p>
          <w:p w14:paraId="3633A735" w14:textId="77777777" w:rsidR="002E0FF5" w:rsidRPr="00384075" w:rsidRDefault="00D560A6" w:rsidP="0050365C">
            <w:pPr>
              <w:spacing w:before="120" w:after="120"/>
              <w:jc w:val="both"/>
              <w:rPr>
                <w:sz w:val="24"/>
                <w:szCs w:val="24"/>
              </w:rPr>
            </w:pPr>
            <w:r w:rsidRPr="00384075">
              <w:rPr>
                <w:sz w:val="24"/>
                <w:szCs w:val="24"/>
              </w:rPr>
              <w:t xml:space="preserve">Astfel, legiuitorul a considerat să se elimine posibilitatea plății lunare/anuale a comisionului de administrare credit calculat ca și procent aplicat la soldul curent al creditului, posibilitate pe care creditorii o au în prezent și să rămână doar posibilitatea </w:t>
            </w:r>
            <w:r w:rsidR="00E84220" w:rsidRPr="00384075">
              <w:rPr>
                <w:sz w:val="24"/>
                <w:szCs w:val="24"/>
              </w:rPr>
              <w:t>ca acesta să fie</w:t>
            </w:r>
            <w:r w:rsidRPr="00384075">
              <w:rPr>
                <w:sz w:val="24"/>
                <w:szCs w:val="24"/>
              </w:rPr>
              <w:t xml:space="preserve"> </w:t>
            </w:r>
            <w:r w:rsidR="00E84220" w:rsidRPr="00384075">
              <w:rPr>
                <w:sz w:val="24"/>
                <w:szCs w:val="24"/>
              </w:rPr>
              <w:t>stabilit în sumă fixă pentru fiecare interval al cuantumurilor minime și maxime ale valorii totale a creditului prevăzute la alin. (12) lit. a) – g), aceeaşi sumă fiind percepută tuturor consumatorilor cu acelaşi tip de credit în cadrul aceleiaşi entități.</w:t>
            </w:r>
          </w:p>
          <w:p w14:paraId="76A27F3B" w14:textId="77777777" w:rsidR="00CF5181" w:rsidRPr="00384075" w:rsidRDefault="006B2F29" w:rsidP="008C1656">
            <w:pPr>
              <w:spacing w:before="120" w:after="120"/>
              <w:jc w:val="both"/>
              <w:rPr>
                <w:sz w:val="24"/>
                <w:szCs w:val="24"/>
              </w:rPr>
            </w:pPr>
            <w:r w:rsidRPr="00384075">
              <w:rPr>
                <w:sz w:val="24"/>
                <w:szCs w:val="24"/>
              </w:rPr>
              <w:t>De asemenea, comisionul pentru servicii prestate la cererea consumatorilor este necesar a fi stabilit în sumă fixă, în funcție de gradul de dificultate al soluționării cererii consumatorului, aceeaşi sumă fiind percepută tuturor consumatorilor cu acelaşi tip de credit de consum, în cadrul aceleiaşi entități</w:t>
            </w:r>
            <w:r w:rsidR="00E84220" w:rsidRPr="00384075">
              <w:rPr>
                <w:sz w:val="24"/>
                <w:szCs w:val="24"/>
              </w:rPr>
              <w:t xml:space="preserve"> și nu poate depăși, indiferent de tipul creditului, suma de 150 lei, în general fiind vorba despre eliberarea unor documente.</w:t>
            </w:r>
          </w:p>
        </w:tc>
      </w:tr>
      <w:tr w:rsidR="00384075" w:rsidRPr="00384075" w14:paraId="10210350" w14:textId="77777777" w:rsidTr="00D66EA6">
        <w:trPr>
          <w:jc w:val="center"/>
        </w:trPr>
        <w:tc>
          <w:tcPr>
            <w:tcW w:w="10335" w:type="dxa"/>
            <w:gridSpan w:val="7"/>
          </w:tcPr>
          <w:p w14:paraId="0E097462" w14:textId="77777777" w:rsidR="00A62022" w:rsidRPr="00384075" w:rsidRDefault="00A62022" w:rsidP="0050365C">
            <w:pPr>
              <w:rPr>
                <w:b/>
                <w:bCs/>
                <w:sz w:val="24"/>
                <w:szCs w:val="24"/>
                <w:lang w:eastAsia="en-US"/>
              </w:rPr>
            </w:pPr>
            <w:r w:rsidRPr="00384075">
              <w:rPr>
                <w:b/>
                <w:bCs/>
                <w:sz w:val="24"/>
                <w:szCs w:val="24"/>
                <w:lang w:eastAsia="en-US"/>
              </w:rPr>
              <w:lastRenderedPageBreak/>
              <w:t>2.4. Alte informații</w:t>
            </w:r>
            <w:r w:rsidR="001F0E0E" w:rsidRPr="00384075">
              <w:rPr>
                <w:b/>
                <w:bCs/>
                <w:sz w:val="24"/>
                <w:szCs w:val="24"/>
                <w:lang w:eastAsia="en-US"/>
              </w:rPr>
              <w:t>:</w:t>
            </w:r>
          </w:p>
          <w:p w14:paraId="1BC282CF" w14:textId="77777777" w:rsidR="00A62022" w:rsidRPr="00384075" w:rsidRDefault="00EA61C9" w:rsidP="0050365C">
            <w:pPr>
              <w:rPr>
                <w:sz w:val="24"/>
                <w:szCs w:val="24"/>
                <w:lang w:eastAsia="en-US"/>
              </w:rPr>
            </w:pPr>
            <w:r w:rsidRPr="00384075">
              <w:rPr>
                <w:snapToGrid w:val="0"/>
                <w:sz w:val="24"/>
                <w:szCs w:val="24"/>
              </w:rPr>
              <w:t>Nu au fost identificate</w:t>
            </w:r>
            <w:r w:rsidR="0019444D" w:rsidRPr="00384075">
              <w:rPr>
                <w:snapToGrid w:val="0"/>
                <w:sz w:val="24"/>
                <w:szCs w:val="24"/>
              </w:rPr>
              <w:t>.</w:t>
            </w:r>
          </w:p>
        </w:tc>
      </w:tr>
      <w:tr w:rsidR="00384075" w:rsidRPr="00384075" w14:paraId="2557B066" w14:textId="77777777" w:rsidTr="00D66EA6">
        <w:trPr>
          <w:jc w:val="center"/>
        </w:trPr>
        <w:tc>
          <w:tcPr>
            <w:tcW w:w="10335" w:type="dxa"/>
            <w:gridSpan w:val="7"/>
          </w:tcPr>
          <w:p w14:paraId="5D88CBCF" w14:textId="77777777" w:rsidR="00E26F01" w:rsidRPr="00384075" w:rsidRDefault="00E26F01" w:rsidP="0050365C">
            <w:pPr>
              <w:rPr>
                <w:b/>
                <w:sz w:val="24"/>
                <w:szCs w:val="24"/>
                <w:lang w:eastAsia="en-US"/>
              </w:rPr>
            </w:pPr>
          </w:p>
          <w:p w14:paraId="63FFA36E" w14:textId="77777777" w:rsidR="00A62022" w:rsidRPr="00384075" w:rsidRDefault="00A62022" w:rsidP="0050365C">
            <w:pPr>
              <w:jc w:val="center"/>
              <w:rPr>
                <w:b/>
                <w:sz w:val="24"/>
                <w:szCs w:val="24"/>
                <w:lang w:eastAsia="en-US"/>
              </w:rPr>
            </w:pPr>
            <w:r w:rsidRPr="00384075">
              <w:rPr>
                <w:b/>
                <w:sz w:val="24"/>
                <w:szCs w:val="24"/>
                <w:lang w:eastAsia="en-US"/>
              </w:rPr>
              <w:t>Secțiunea a 3 –a</w:t>
            </w:r>
          </w:p>
          <w:p w14:paraId="612DADFE" w14:textId="77777777" w:rsidR="00A62022" w:rsidRPr="00384075" w:rsidRDefault="00A62022" w:rsidP="0050365C">
            <w:pPr>
              <w:jc w:val="center"/>
              <w:rPr>
                <w:b/>
                <w:sz w:val="24"/>
                <w:szCs w:val="24"/>
                <w:lang w:eastAsia="en-US"/>
              </w:rPr>
            </w:pPr>
            <w:r w:rsidRPr="00384075">
              <w:rPr>
                <w:b/>
                <w:sz w:val="24"/>
                <w:szCs w:val="24"/>
                <w:lang w:eastAsia="en-US"/>
              </w:rPr>
              <w:t>Impactul socioeconomic al actului normativ</w:t>
            </w:r>
          </w:p>
          <w:p w14:paraId="3078CCDB" w14:textId="77777777" w:rsidR="0050365C" w:rsidRPr="00384075" w:rsidRDefault="0050365C" w:rsidP="0050365C">
            <w:pPr>
              <w:spacing w:before="120" w:after="120"/>
              <w:jc w:val="center"/>
              <w:rPr>
                <w:sz w:val="24"/>
                <w:szCs w:val="24"/>
                <w:lang w:eastAsia="en-US"/>
              </w:rPr>
            </w:pPr>
          </w:p>
        </w:tc>
      </w:tr>
      <w:tr w:rsidR="00384075" w:rsidRPr="00384075" w14:paraId="2B15DCC4" w14:textId="77777777" w:rsidTr="00D66EA6">
        <w:trPr>
          <w:jc w:val="center"/>
        </w:trPr>
        <w:tc>
          <w:tcPr>
            <w:tcW w:w="10335" w:type="dxa"/>
            <w:gridSpan w:val="7"/>
          </w:tcPr>
          <w:p w14:paraId="3016ED6E" w14:textId="77777777" w:rsidR="00A62022" w:rsidRPr="00384075" w:rsidRDefault="00A62022" w:rsidP="0050365C">
            <w:pPr>
              <w:rPr>
                <w:rFonts w:eastAsia="Calibri"/>
                <w:b/>
                <w:bCs/>
                <w:sz w:val="24"/>
                <w:szCs w:val="24"/>
                <w:lang w:eastAsia="en-US"/>
              </w:rPr>
            </w:pPr>
            <w:r w:rsidRPr="00384075">
              <w:rPr>
                <w:rFonts w:eastAsia="Calibri"/>
                <w:b/>
                <w:bCs/>
                <w:sz w:val="24"/>
                <w:szCs w:val="24"/>
                <w:lang w:eastAsia="en-US"/>
              </w:rPr>
              <w:t>3.1. Descrierea generală a beneficiilor și costurilor estimate ca urmare a intrării în vigoare a actului normativ</w:t>
            </w:r>
            <w:r w:rsidR="004B0F62" w:rsidRPr="00384075">
              <w:rPr>
                <w:rFonts w:eastAsia="Calibri"/>
                <w:b/>
                <w:bCs/>
                <w:sz w:val="24"/>
                <w:szCs w:val="24"/>
                <w:lang w:eastAsia="en-US"/>
              </w:rPr>
              <w:t>:</w:t>
            </w:r>
          </w:p>
          <w:p w14:paraId="7A9F6D86" w14:textId="77777777" w:rsidR="00A62022" w:rsidRPr="00384075" w:rsidRDefault="00A62022" w:rsidP="0050365C">
            <w:pPr>
              <w:rPr>
                <w:sz w:val="24"/>
                <w:szCs w:val="24"/>
                <w:lang w:eastAsia="en-US"/>
              </w:rPr>
            </w:pPr>
            <w:r w:rsidRPr="00384075">
              <w:rPr>
                <w:sz w:val="24"/>
                <w:szCs w:val="24"/>
                <w:lang w:eastAsia="en-US"/>
              </w:rPr>
              <w:t>Prezentul act normativ nu se referă la acest subiect</w:t>
            </w:r>
            <w:r w:rsidR="0019444D" w:rsidRPr="00384075">
              <w:rPr>
                <w:sz w:val="24"/>
                <w:szCs w:val="24"/>
                <w:lang w:eastAsia="en-US"/>
              </w:rPr>
              <w:t>.</w:t>
            </w:r>
          </w:p>
          <w:p w14:paraId="5139A258" w14:textId="77777777" w:rsidR="00B70B27" w:rsidRPr="00384075" w:rsidRDefault="00B70B27" w:rsidP="0050365C">
            <w:pPr>
              <w:rPr>
                <w:b/>
                <w:sz w:val="24"/>
                <w:szCs w:val="24"/>
                <w:lang w:eastAsia="en-US"/>
              </w:rPr>
            </w:pPr>
          </w:p>
        </w:tc>
      </w:tr>
      <w:tr w:rsidR="00384075" w:rsidRPr="00384075" w14:paraId="762C8A78" w14:textId="77777777" w:rsidTr="00D66EA6">
        <w:trPr>
          <w:jc w:val="center"/>
        </w:trPr>
        <w:tc>
          <w:tcPr>
            <w:tcW w:w="10335" w:type="dxa"/>
            <w:gridSpan w:val="7"/>
          </w:tcPr>
          <w:p w14:paraId="00C31A08" w14:textId="77777777" w:rsidR="00A62022" w:rsidRPr="00384075" w:rsidRDefault="00A62022" w:rsidP="0050365C">
            <w:pPr>
              <w:rPr>
                <w:rFonts w:eastAsia="Calibri"/>
                <w:b/>
                <w:bCs/>
                <w:sz w:val="24"/>
                <w:szCs w:val="24"/>
                <w:lang w:eastAsia="en-US"/>
              </w:rPr>
            </w:pPr>
            <w:r w:rsidRPr="00384075">
              <w:rPr>
                <w:rFonts w:eastAsia="Calibri"/>
                <w:b/>
                <w:bCs/>
                <w:sz w:val="24"/>
                <w:szCs w:val="24"/>
                <w:lang w:eastAsia="en-US"/>
              </w:rPr>
              <w:t>3.2. Impactul social</w:t>
            </w:r>
            <w:r w:rsidR="004B0F62" w:rsidRPr="00384075">
              <w:rPr>
                <w:rFonts w:eastAsia="Calibri"/>
                <w:b/>
                <w:bCs/>
                <w:sz w:val="24"/>
                <w:szCs w:val="24"/>
                <w:lang w:eastAsia="en-US"/>
              </w:rPr>
              <w:t>:</w:t>
            </w:r>
          </w:p>
          <w:p w14:paraId="6E86DBEE" w14:textId="77777777" w:rsidR="00B70B27" w:rsidRPr="00384075" w:rsidRDefault="00EA61C9" w:rsidP="00B06AC8">
            <w:pPr>
              <w:rPr>
                <w:rFonts w:eastAsia="Calibri"/>
                <w:strike/>
                <w:sz w:val="24"/>
                <w:szCs w:val="24"/>
              </w:rPr>
            </w:pPr>
            <w:r w:rsidRPr="00384075">
              <w:rPr>
                <w:sz w:val="24"/>
                <w:szCs w:val="24"/>
                <w:lang w:eastAsia="en-US"/>
              </w:rPr>
              <w:t xml:space="preserve"> </w:t>
            </w:r>
            <w:r w:rsidR="00584443" w:rsidRPr="00384075">
              <w:rPr>
                <w:strike/>
                <w:sz w:val="24"/>
                <w:szCs w:val="24"/>
              </w:rPr>
              <w:t>Proiectul de act normativ nu se referă la acest subiect</w:t>
            </w:r>
            <w:r w:rsidRPr="00384075">
              <w:rPr>
                <w:rFonts w:eastAsia="Calibri"/>
                <w:strike/>
                <w:sz w:val="24"/>
                <w:szCs w:val="24"/>
              </w:rPr>
              <w:t>.</w:t>
            </w:r>
          </w:p>
          <w:p w14:paraId="092BF397" w14:textId="104408E7" w:rsidR="00BA0FFE" w:rsidRPr="00384075" w:rsidRDefault="00BA0FFE" w:rsidP="00BA0FFE">
            <w:pPr>
              <w:jc w:val="both"/>
              <w:rPr>
                <w:rFonts w:eastAsia="Calibri"/>
                <w:sz w:val="24"/>
                <w:szCs w:val="24"/>
              </w:rPr>
            </w:pPr>
            <w:r w:rsidRPr="00384075">
              <w:rPr>
                <w:rFonts w:eastAsia="Calibri"/>
                <w:sz w:val="24"/>
                <w:szCs w:val="24"/>
              </w:rPr>
              <w:t>Măsurile cuantificate din cadrul opțiunii preferate ar implica o reducere a prejudiciului adus consumatorilor cu aproximativ 2 miliarde EUR în perioada 2021-2030.</w:t>
            </w:r>
          </w:p>
        </w:tc>
      </w:tr>
      <w:tr w:rsidR="00384075" w:rsidRPr="00384075" w14:paraId="354771F6" w14:textId="77777777" w:rsidTr="00D66EA6">
        <w:trPr>
          <w:jc w:val="center"/>
        </w:trPr>
        <w:tc>
          <w:tcPr>
            <w:tcW w:w="10335" w:type="dxa"/>
            <w:gridSpan w:val="7"/>
          </w:tcPr>
          <w:p w14:paraId="25C91AA7" w14:textId="77777777" w:rsidR="00A62022" w:rsidRPr="00384075" w:rsidRDefault="00A62022" w:rsidP="0050365C">
            <w:pPr>
              <w:rPr>
                <w:rFonts w:eastAsia="Calibri"/>
                <w:b/>
                <w:bCs/>
                <w:sz w:val="24"/>
                <w:szCs w:val="24"/>
                <w:lang w:eastAsia="en-US"/>
              </w:rPr>
            </w:pPr>
            <w:r w:rsidRPr="00384075">
              <w:rPr>
                <w:rFonts w:eastAsia="Calibri"/>
                <w:b/>
                <w:bCs/>
                <w:sz w:val="24"/>
                <w:szCs w:val="24"/>
                <w:lang w:eastAsia="en-US"/>
              </w:rPr>
              <w:t>3.3. Impactul asupra drepturilor și libertăților fundamentale ale omului</w:t>
            </w:r>
            <w:r w:rsidR="004B0F62" w:rsidRPr="00384075">
              <w:rPr>
                <w:rFonts w:eastAsia="Calibri"/>
                <w:b/>
                <w:bCs/>
                <w:sz w:val="24"/>
                <w:szCs w:val="24"/>
                <w:lang w:eastAsia="en-US"/>
              </w:rPr>
              <w:t>:</w:t>
            </w:r>
          </w:p>
          <w:p w14:paraId="2F10324A" w14:textId="77777777" w:rsidR="00A62022" w:rsidRPr="00384075" w:rsidRDefault="00A62022" w:rsidP="0050365C">
            <w:pPr>
              <w:rPr>
                <w:sz w:val="24"/>
                <w:szCs w:val="24"/>
                <w:lang w:eastAsia="en-US"/>
              </w:rPr>
            </w:pPr>
            <w:r w:rsidRPr="00384075">
              <w:rPr>
                <w:sz w:val="24"/>
                <w:szCs w:val="24"/>
                <w:lang w:eastAsia="en-US"/>
              </w:rPr>
              <w:t>Prezentul act normativ nu se referă la acest subiect</w:t>
            </w:r>
            <w:r w:rsidR="0019444D" w:rsidRPr="00384075">
              <w:rPr>
                <w:sz w:val="24"/>
                <w:szCs w:val="24"/>
                <w:lang w:eastAsia="en-US"/>
              </w:rPr>
              <w:t>.</w:t>
            </w:r>
          </w:p>
          <w:p w14:paraId="1B660E83" w14:textId="77777777" w:rsidR="00B70B27" w:rsidRPr="00384075" w:rsidRDefault="00B70B27" w:rsidP="0050365C">
            <w:pPr>
              <w:rPr>
                <w:rFonts w:eastAsia="Calibri"/>
                <w:sz w:val="24"/>
                <w:szCs w:val="24"/>
                <w:lang w:eastAsia="en-US"/>
              </w:rPr>
            </w:pPr>
          </w:p>
        </w:tc>
      </w:tr>
      <w:tr w:rsidR="00384075" w:rsidRPr="00384075" w14:paraId="4023F486" w14:textId="77777777" w:rsidTr="00D66EA6">
        <w:trPr>
          <w:jc w:val="center"/>
        </w:trPr>
        <w:tc>
          <w:tcPr>
            <w:tcW w:w="10335" w:type="dxa"/>
            <w:gridSpan w:val="7"/>
          </w:tcPr>
          <w:p w14:paraId="10EBB0F4" w14:textId="77777777" w:rsidR="00A62022" w:rsidRPr="00384075" w:rsidRDefault="00A62022" w:rsidP="0050365C">
            <w:pPr>
              <w:jc w:val="both"/>
              <w:rPr>
                <w:b/>
                <w:bCs/>
                <w:sz w:val="24"/>
                <w:szCs w:val="24"/>
                <w:lang w:eastAsia="en-US"/>
              </w:rPr>
            </w:pPr>
            <w:r w:rsidRPr="00384075">
              <w:rPr>
                <w:rFonts w:eastAsia="Calibri"/>
                <w:b/>
                <w:bCs/>
                <w:sz w:val="24"/>
                <w:szCs w:val="24"/>
                <w:lang w:eastAsia="en-US"/>
              </w:rPr>
              <w:t>3.4.</w:t>
            </w:r>
            <w:r w:rsidRPr="00384075">
              <w:rPr>
                <w:b/>
                <w:bCs/>
                <w:sz w:val="24"/>
                <w:szCs w:val="24"/>
                <w:lang w:eastAsia="en-US"/>
              </w:rPr>
              <w:t xml:space="preserve"> Impactul macroeconomic</w:t>
            </w:r>
            <w:r w:rsidR="004B0F62" w:rsidRPr="00384075">
              <w:rPr>
                <w:b/>
                <w:bCs/>
                <w:sz w:val="24"/>
                <w:szCs w:val="24"/>
                <w:lang w:eastAsia="en-US"/>
              </w:rPr>
              <w:t>:</w:t>
            </w:r>
          </w:p>
          <w:p w14:paraId="3CF0382A" w14:textId="77777777" w:rsidR="00A62022" w:rsidRPr="00384075" w:rsidRDefault="00EA61C9" w:rsidP="0050365C">
            <w:pPr>
              <w:jc w:val="both"/>
              <w:rPr>
                <w:sz w:val="24"/>
                <w:szCs w:val="24"/>
              </w:rPr>
            </w:pPr>
            <w:r w:rsidRPr="00384075">
              <w:rPr>
                <w:sz w:val="24"/>
                <w:szCs w:val="24"/>
                <w:lang w:eastAsia="en-US"/>
              </w:rPr>
              <w:t xml:space="preserve"> </w:t>
            </w:r>
            <w:r w:rsidRPr="00384075">
              <w:rPr>
                <w:sz w:val="24"/>
                <w:szCs w:val="24"/>
              </w:rPr>
              <w:t>Proiectul de act normativ nu se referă la acest subiect.</w:t>
            </w:r>
          </w:p>
          <w:p w14:paraId="07BCE8E4" w14:textId="3E0B7F52" w:rsidR="00B06AC8" w:rsidRPr="00384075" w:rsidRDefault="00B06AC8" w:rsidP="0050365C">
            <w:pPr>
              <w:jc w:val="both"/>
              <w:rPr>
                <w:sz w:val="24"/>
                <w:szCs w:val="24"/>
              </w:rPr>
            </w:pPr>
            <w:r w:rsidRPr="00384075">
              <w:rPr>
                <w:sz w:val="24"/>
                <w:szCs w:val="24"/>
              </w:rPr>
              <w:t xml:space="preserve">Prezenta propunere nu are implicații asupra bugetului, neluând în considerare costurile administrative obișnuite legate de asigurarea respectării legislației UE, având în vedere că nu </w:t>
            </w:r>
            <w:r w:rsidR="00B9516D" w:rsidRPr="00384075">
              <w:rPr>
                <w:sz w:val="24"/>
                <w:szCs w:val="24"/>
              </w:rPr>
              <w:t>vorbim de</w:t>
            </w:r>
            <w:r w:rsidRPr="00384075">
              <w:rPr>
                <w:sz w:val="24"/>
                <w:szCs w:val="24"/>
              </w:rPr>
              <w:t xml:space="preserve"> crea</w:t>
            </w:r>
            <w:r w:rsidR="00B9516D" w:rsidRPr="00384075">
              <w:rPr>
                <w:sz w:val="24"/>
                <w:szCs w:val="24"/>
              </w:rPr>
              <w:t>nțe</w:t>
            </w:r>
            <w:r w:rsidRPr="00384075">
              <w:rPr>
                <w:sz w:val="24"/>
                <w:szCs w:val="24"/>
              </w:rPr>
              <w:t xml:space="preserve"> noi  și nu sunt asumate niciun fel de angajamente financiare.</w:t>
            </w:r>
          </w:p>
          <w:p w14:paraId="66A76D96" w14:textId="77777777" w:rsidR="00B70B27" w:rsidRPr="00384075" w:rsidRDefault="00B70B27" w:rsidP="00B06AC8">
            <w:pPr>
              <w:jc w:val="both"/>
              <w:rPr>
                <w:sz w:val="24"/>
                <w:szCs w:val="24"/>
                <w:lang w:eastAsia="en-US"/>
              </w:rPr>
            </w:pPr>
          </w:p>
        </w:tc>
      </w:tr>
      <w:tr w:rsidR="00384075" w:rsidRPr="00384075" w14:paraId="3B970784" w14:textId="77777777" w:rsidTr="00D66EA6">
        <w:trPr>
          <w:jc w:val="center"/>
        </w:trPr>
        <w:tc>
          <w:tcPr>
            <w:tcW w:w="10335" w:type="dxa"/>
            <w:gridSpan w:val="7"/>
          </w:tcPr>
          <w:p w14:paraId="3E689B23" w14:textId="77777777" w:rsidR="00E6173F" w:rsidRPr="00384075" w:rsidRDefault="00E6173F" w:rsidP="0050365C">
            <w:pPr>
              <w:jc w:val="both"/>
              <w:rPr>
                <w:b/>
                <w:bCs/>
                <w:sz w:val="24"/>
                <w:szCs w:val="24"/>
                <w:lang w:eastAsia="en-US"/>
              </w:rPr>
            </w:pPr>
            <w:r w:rsidRPr="00384075">
              <w:rPr>
                <w:b/>
                <w:bCs/>
                <w:sz w:val="24"/>
                <w:szCs w:val="24"/>
                <w:lang w:eastAsia="en-US"/>
              </w:rPr>
              <w:t>3.4.1. Impactul asupra economiei și asupra principalilor indicatori macroeconomici</w:t>
            </w:r>
            <w:r w:rsidR="004B0F62" w:rsidRPr="00384075">
              <w:rPr>
                <w:b/>
                <w:bCs/>
                <w:sz w:val="24"/>
                <w:szCs w:val="24"/>
                <w:lang w:eastAsia="en-US"/>
              </w:rPr>
              <w:t>:</w:t>
            </w:r>
          </w:p>
          <w:p w14:paraId="4E145B1E" w14:textId="77777777" w:rsidR="00E6173F" w:rsidRPr="00384075" w:rsidRDefault="00E6173F" w:rsidP="0050365C">
            <w:pPr>
              <w:jc w:val="both"/>
              <w:rPr>
                <w:sz w:val="24"/>
                <w:szCs w:val="24"/>
                <w:lang w:eastAsia="en-US"/>
              </w:rPr>
            </w:pPr>
            <w:r w:rsidRPr="00384075">
              <w:rPr>
                <w:sz w:val="24"/>
                <w:szCs w:val="24"/>
                <w:lang w:eastAsia="en-US"/>
              </w:rPr>
              <w:t>Prezentul act normativ nu se referă la acest subiect</w:t>
            </w:r>
            <w:r w:rsidR="0019444D" w:rsidRPr="00384075">
              <w:rPr>
                <w:sz w:val="24"/>
                <w:szCs w:val="24"/>
                <w:lang w:eastAsia="en-US"/>
              </w:rPr>
              <w:t>.</w:t>
            </w:r>
          </w:p>
          <w:p w14:paraId="7DF859B9" w14:textId="77777777" w:rsidR="00B70B27" w:rsidRPr="00384075" w:rsidRDefault="00B70B27" w:rsidP="0050365C">
            <w:pPr>
              <w:jc w:val="both"/>
              <w:rPr>
                <w:rFonts w:eastAsia="Calibri"/>
                <w:sz w:val="24"/>
                <w:szCs w:val="24"/>
                <w:lang w:eastAsia="en-US"/>
              </w:rPr>
            </w:pPr>
          </w:p>
        </w:tc>
      </w:tr>
      <w:tr w:rsidR="00384075" w:rsidRPr="00384075" w14:paraId="08923BAE" w14:textId="77777777" w:rsidTr="00D66EA6">
        <w:trPr>
          <w:jc w:val="center"/>
        </w:trPr>
        <w:tc>
          <w:tcPr>
            <w:tcW w:w="10335" w:type="dxa"/>
            <w:gridSpan w:val="7"/>
          </w:tcPr>
          <w:p w14:paraId="2C082FCA" w14:textId="77777777" w:rsidR="00E6173F" w:rsidRPr="00384075" w:rsidRDefault="00E6173F" w:rsidP="0050365C">
            <w:pPr>
              <w:jc w:val="both"/>
              <w:rPr>
                <w:b/>
                <w:bCs/>
                <w:sz w:val="24"/>
                <w:szCs w:val="24"/>
                <w:lang w:eastAsia="en-US"/>
              </w:rPr>
            </w:pPr>
            <w:r w:rsidRPr="00384075">
              <w:rPr>
                <w:b/>
                <w:bCs/>
                <w:sz w:val="24"/>
                <w:szCs w:val="24"/>
                <w:lang w:eastAsia="en-US"/>
              </w:rPr>
              <w:t>3.4.2. Impactul asupra mediului concurențial și domeniul ajutoarelor de stat</w:t>
            </w:r>
            <w:r w:rsidR="004B0F62" w:rsidRPr="00384075">
              <w:rPr>
                <w:b/>
                <w:bCs/>
                <w:sz w:val="24"/>
                <w:szCs w:val="24"/>
                <w:lang w:eastAsia="en-US"/>
              </w:rPr>
              <w:t>:</w:t>
            </w:r>
          </w:p>
          <w:p w14:paraId="511E343F" w14:textId="77777777" w:rsidR="00E6173F" w:rsidRPr="00384075" w:rsidRDefault="00E6173F" w:rsidP="0050365C">
            <w:pPr>
              <w:jc w:val="both"/>
              <w:rPr>
                <w:sz w:val="24"/>
                <w:szCs w:val="24"/>
                <w:lang w:eastAsia="en-US"/>
              </w:rPr>
            </w:pPr>
            <w:r w:rsidRPr="00384075">
              <w:rPr>
                <w:sz w:val="24"/>
                <w:szCs w:val="24"/>
                <w:lang w:eastAsia="en-US"/>
              </w:rPr>
              <w:t>Prezentul act normativ nu se referă la acest subiect</w:t>
            </w:r>
            <w:r w:rsidR="0019444D" w:rsidRPr="00384075">
              <w:rPr>
                <w:sz w:val="24"/>
                <w:szCs w:val="24"/>
                <w:lang w:eastAsia="en-US"/>
              </w:rPr>
              <w:t>.</w:t>
            </w:r>
          </w:p>
          <w:p w14:paraId="0EC722E4" w14:textId="77777777" w:rsidR="00B70B27" w:rsidRPr="00384075" w:rsidRDefault="00B70B27" w:rsidP="0050365C">
            <w:pPr>
              <w:jc w:val="both"/>
              <w:rPr>
                <w:sz w:val="24"/>
                <w:szCs w:val="24"/>
                <w:lang w:eastAsia="en-US"/>
              </w:rPr>
            </w:pPr>
          </w:p>
        </w:tc>
      </w:tr>
      <w:tr w:rsidR="00384075" w:rsidRPr="00384075" w14:paraId="1F6743CD" w14:textId="77777777" w:rsidTr="00D66EA6">
        <w:trPr>
          <w:jc w:val="center"/>
        </w:trPr>
        <w:tc>
          <w:tcPr>
            <w:tcW w:w="10335" w:type="dxa"/>
            <w:gridSpan w:val="7"/>
          </w:tcPr>
          <w:p w14:paraId="6D083430" w14:textId="77777777" w:rsidR="00E6173F" w:rsidRPr="00384075" w:rsidRDefault="00E6173F" w:rsidP="0050365C">
            <w:pPr>
              <w:jc w:val="both"/>
              <w:rPr>
                <w:b/>
                <w:bCs/>
                <w:sz w:val="24"/>
                <w:szCs w:val="24"/>
                <w:lang w:eastAsia="en-US"/>
              </w:rPr>
            </w:pPr>
            <w:r w:rsidRPr="00384075">
              <w:rPr>
                <w:b/>
                <w:bCs/>
                <w:sz w:val="24"/>
                <w:szCs w:val="24"/>
                <w:lang w:eastAsia="en-US"/>
              </w:rPr>
              <w:lastRenderedPageBreak/>
              <w:t>3.5. Impactul asupra mediului de afaceri:</w:t>
            </w:r>
          </w:p>
          <w:p w14:paraId="6EC6F531" w14:textId="77777777" w:rsidR="000F3693" w:rsidRPr="00384075" w:rsidRDefault="000F3693" w:rsidP="0050365C">
            <w:pPr>
              <w:jc w:val="both"/>
              <w:rPr>
                <w:sz w:val="24"/>
                <w:szCs w:val="24"/>
                <w:lang w:eastAsia="en-US"/>
              </w:rPr>
            </w:pPr>
            <w:r w:rsidRPr="00384075">
              <w:rPr>
                <w:sz w:val="24"/>
                <w:szCs w:val="24"/>
                <w:lang w:eastAsia="en-US"/>
              </w:rPr>
              <w:t>Prezentul act normativ nu se referă la acest subiect.</w:t>
            </w:r>
          </w:p>
          <w:p w14:paraId="61B95E65" w14:textId="77777777" w:rsidR="00F07709" w:rsidRPr="00384075" w:rsidRDefault="00F07709" w:rsidP="0050365C">
            <w:pPr>
              <w:widowControl w:val="0"/>
              <w:autoSpaceDE w:val="0"/>
              <w:autoSpaceDN w:val="0"/>
              <w:jc w:val="both"/>
              <w:rPr>
                <w:rFonts w:eastAsia="Tahoma"/>
                <w:sz w:val="24"/>
                <w:szCs w:val="24"/>
              </w:rPr>
            </w:pPr>
          </w:p>
        </w:tc>
      </w:tr>
      <w:tr w:rsidR="00384075" w:rsidRPr="00384075" w14:paraId="1661BF91" w14:textId="77777777" w:rsidTr="00D66EA6">
        <w:trPr>
          <w:jc w:val="center"/>
        </w:trPr>
        <w:tc>
          <w:tcPr>
            <w:tcW w:w="10335" w:type="dxa"/>
            <w:gridSpan w:val="7"/>
          </w:tcPr>
          <w:p w14:paraId="57A0D3A8" w14:textId="77777777" w:rsidR="00E6173F" w:rsidRPr="00384075" w:rsidRDefault="00E6173F" w:rsidP="0050365C">
            <w:pPr>
              <w:jc w:val="both"/>
              <w:rPr>
                <w:b/>
                <w:bCs/>
                <w:sz w:val="24"/>
                <w:szCs w:val="24"/>
                <w:lang w:eastAsia="en-US"/>
              </w:rPr>
            </w:pPr>
            <w:r w:rsidRPr="00384075">
              <w:rPr>
                <w:b/>
                <w:bCs/>
                <w:sz w:val="24"/>
                <w:szCs w:val="24"/>
                <w:lang w:eastAsia="en-US"/>
              </w:rPr>
              <w:t>3.6. Impactul asupra mediului înconjurător</w:t>
            </w:r>
            <w:r w:rsidR="004B0F62" w:rsidRPr="00384075">
              <w:rPr>
                <w:b/>
                <w:bCs/>
                <w:sz w:val="24"/>
                <w:szCs w:val="24"/>
                <w:lang w:eastAsia="en-US"/>
              </w:rPr>
              <w:t>:</w:t>
            </w:r>
          </w:p>
          <w:p w14:paraId="4FE4B91C" w14:textId="77777777" w:rsidR="00E6173F" w:rsidRPr="00384075" w:rsidRDefault="00554D03" w:rsidP="0050365C">
            <w:pPr>
              <w:jc w:val="both"/>
              <w:rPr>
                <w:sz w:val="24"/>
                <w:szCs w:val="24"/>
              </w:rPr>
            </w:pPr>
            <w:r w:rsidRPr="00384075">
              <w:rPr>
                <w:sz w:val="24"/>
                <w:szCs w:val="24"/>
              </w:rPr>
              <w:t xml:space="preserve">Proiectul de act normativ asigură un nivel ridicat de protecție a </w:t>
            </w:r>
            <w:r w:rsidR="00F07709" w:rsidRPr="00384075">
              <w:rPr>
                <w:sz w:val="24"/>
                <w:szCs w:val="24"/>
              </w:rPr>
              <w:t>consumatorilor</w:t>
            </w:r>
            <w:r w:rsidR="00802EA8" w:rsidRPr="00384075">
              <w:rPr>
                <w:sz w:val="24"/>
                <w:szCs w:val="24"/>
              </w:rPr>
              <w:t>.</w:t>
            </w:r>
          </w:p>
          <w:p w14:paraId="149E424A" w14:textId="77777777" w:rsidR="00B70B27" w:rsidRPr="00384075" w:rsidRDefault="00B70B27" w:rsidP="0050365C">
            <w:pPr>
              <w:jc w:val="both"/>
              <w:rPr>
                <w:sz w:val="24"/>
                <w:szCs w:val="24"/>
                <w:lang w:eastAsia="en-US"/>
              </w:rPr>
            </w:pPr>
          </w:p>
        </w:tc>
      </w:tr>
      <w:tr w:rsidR="00384075" w:rsidRPr="00384075" w14:paraId="6D70CA30" w14:textId="77777777" w:rsidTr="00D66EA6">
        <w:trPr>
          <w:jc w:val="center"/>
        </w:trPr>
        <w:tc>
          <w:tcPr>
            <w:tcW w:w="10335" w:type="dxa"/>
            <w:gridSpan w:val="7"/>
          </w:tcPr>
          <w:p w14:paraId="3EFED75F" w14:textId="77777777" w:rsidR="00E6173F" w:rsidRPr="00384075" w:rsidRDefault="00E6173F" w:rsidP="0050365C">
            <w:pPr>
              <w:jc w:val="both"/>
              <w:rPr>
                <w:rFonts w:eastAsia="Calibri"/>
                <w:b/>
                <w:bCs/>
                <w:sz w:val="24"/>
                <w:szCs w:val="24"/>
                <w:lang w:eastAsia="en-US"/>
              </w:rPr>
            </w:pPr>
            <w:r w:rsidRPr="00384075">
              <w:rPr>
                <w:rFonts w:eastAsia="Calibri"/>
                <w:b/>
                <w:bCs/>
                <w:sz w:val="24"/>
                <w:szCs w:val="24"/>
                <w:lang w:eastAsia="en-US"/>
              </w:rPr>
              <w:t>3.7. Evaluarea costurilor și beneficiilor din perspectiva inovării și digitalizării</w:t>
            </w:r>
            <w:r w:rsidR="004B0F62" w:rsidRPr="00384075">
              <w:rPr>
                <w:rFonts w:eastAsia="Calibri"/>
                <w:b/>
                <w:bCs/>
                <w:sz w:val="24"/>
                <w:szCs w:val="24"/>
                <w:lang w:eastAsia="en-US"/>
              </w:rPr>
              <w:t>:</w:t>
            </w:r>
          </w:p>
          <w:p w14:paraId="51992C1B" w14:textId="77777777" w:rsidR="00E6173F" w:rsidRPr="00384075" w:rsidRDefault="00E6173F" w:rsidP="0050365C">
            <w:pPr>
              <w:jc w:val="both"/>
              <w:rPr>
                <w:sz w:val="24"/>
                <w:szCs w:val="24"/>
                <w:lang w:eastAsia="en-US"/>
              </w:rPr>
            </w:pPr>
            <w:r w:rsidRPr="00384075">
              <w:rPr>
                <w:sz w:val="24"/>
                <w:szCs w:val="24"/>
                <w:lang w:eastAsia="en-US"/>
              </w:rPr>
              <w:t>Prezentul act normativ nu se referă la acest subiect</w:t>
            </w:r>
            <w:r w:rsidR="0019444D" w:rsidRPr="00384075">
              <w:rPr>
                <w:sz w:val="24"/>
                <w:szCs w:val="24"/>
                <w:lang w:eastAsia="en-US"/>
              </w:rPr>
              <w:t>.</w:t>
            </w:r>
          </w:p>
          <w:p w14:paraId="7C3DE46B" w14:textId="77777777" w:rsidR="00B70B27" w:rsidRPr="00384075" w:rsidRDefault="00B70B27" w:rsidP="0050365C">
            <w:pPr>
              <w:jc w:val="both"/>
              <w:rPr>
                <w:sz w:val="24"/>
                <w:szCs w:val="24"/>
                <w:lang w:eastAsia="en-US"/>
              </w:rPr>
            </w:pPr>
          </w:p>
        </w:tc>
      </w:tr>
      <w:tr w:rsidR="00384075" w:rsidRPr="00384075" w14:paraId="418A2951" w14:textId="77777777" w:rsidTr="00D66EA6">
        <w:trPr>
          <w:jc w:val="center"/>
        </w:trPr>
        <w:tc>
          <w:tcPr>
            <w:tcW w:w="10335" w:type="dxa"/>
            <w:gridSpan w:val="7"/>
          </w:tcPr>
          <w:p w14:paraId="1B09943E" w14:textId="77777777" w:rsidR="00E6173F" w:rsidRPr="00384075" w:rsidRDefault="00E6173F" w:rsidP="0050365C">
            <w:pPr>
              <w:jc w:val="both"/>
              <w:rPr>
                <w:rFonts w:eastAsia="Calibri"/>
                <w:b/>
                <w:bCs/>
                <w:sz w:val="24"/>
                <w:szCs w:val="24"/>
                <w:lang w:eastAsia="en-US"/>
              </w:rPr>
            </w:pPr>
            <w:r w:rsidRPr="00384075">
              <w:rPr>
                <w:rFonts w:eastAsia="Calibri"/>
                <w:b/>
                <w:bCs/>
                <w:sz w:val="24"/>
                <w:szCs w:val="24"/>
                <w:lang w:eastAsia="en-US"/>
              </w:rPr>
              <w:t>3.8. Evaluarea costurilor și beneficiilor din perspectiva dezvoltării durabile</w:t>
            </w:r>
          </w:p>
          <w:p w14:paraId="5988CB4A" w14:textId="77777777" w:rsidR="00E6173F" w:rsidRPr="00384075" w:rsidRDefault="00E6173F" w:rsidP="0050365C">
            <w:pPr>
              <w:jc w:val="both"/>
              <w:rPr>
                <w:sz w:val="24"/>
                <w:szCs w:val="24"/>
                <w:lang w:eastAsia="en-US"/>
              </w:rPr>
            </w:pPr>
            <w:r w:rsidRPr="00384075">
              <w:rPr>
                <w:sz w:val="24"/>
                <w:szCs w:val="24"/>
                <w:lang w:eastAsia="en-US"/>
              </w:rPr>
              <w:t>Prezentul act normativ nu se referă la acest subiect</w:t>
            </w:r>
            <w:r w:rsidR="0019444D" w:rsidRPr="00384075">
              <w:rPr>
                <w:sz w:val="24"/>
                <w:szCs w:val="24"/>
                <w:lang w:eastAsia="en-US"/>
              </w:rPr>
              <w:t>.</w:t>
            </w:r>
          </w:p>
          <w:p w14:paraId="6FEBBBA2" w14:textId="77777777" w:rsidR="00B70B27" w:rsidRPr="00384075" w:rsidRDefault="00B70B27" w:rsidP="0050365C">
            <w:pPr>
              <w:jc w:val="both"/>
              <w:rPr>
                <w:rFonts w:eastAsia="Calibri"/>
                <w:sz w:val="24"/>
                <w:szCs w:val="24"/>
                <w:lang w:eastAsia="en-US"/>
              </w:rPr>
            </w:pPr>
          </w:p>
        </w:tc>
      </w:tr>
      <w:tr w:rsidR="00384075" w:rsidRPr="00384075" w14:paraId="0B3E614C" w14:textId="77777777" w:rsidTr="00D66EA6">
        <w:trPr>
          <w:jc w:val="center"/>
        </w:trPr>
        <w:tc>
          <w:tcPr>
            <w:tcW w:w="10335" w:type="dxa"/>
            <w:gridSpan w:val="7"/>
          </w:tcPr>
          <w:p w14:paraId="6C5FDED1" w14:textId="77777777" w:rsidR="00E6173F" w:rsidRPr="00384075" w:rsidRDefault="00E6173F" w:rsidP="0050365C">
            <w:pPr>
              <w:jc w:val="both"/>
              <w:rPr>
                <w:b/>
                <w:bCs/>
                <w:sz w:val="24"/>
                <w:szCs w:val="24"/>
                <w:lang w:eastAsia="en-US"/>
              </w:rPr>
            </w:pPr>
            <w:r w:rsidRPr="00384075">
              <w:rPr>
                <w:b/>
                <w:bCs/>
                <w:sz w:val="24"/>
                <w:szCs w:val="24"/>
                <w:lang w:eastAsia="en-US"/>
              </w:rPr>
              <w:t>3.9. Alte informații</w:t>
            </w:r>
          </w:p>
          <w:p w14:paraId="34F3E253" w14:textId="77777777" w:rsidR="00E6173F" w:rsidRPr="00384075" w:rsidRDefault="00554D03" w:rsidP="0050365C">
            <w:pPr>
              <w:jc w:val="both"/>
              <w:rPr>
                <w:rFonts w:eastAsia="Calibri"/>
                <w:sz w:val="24"/>
                <w:szCs w:val="24"/>
                <w:lang w:eastAsia="en-US"/>
              </w:rPr>
            </w:pPr>
            <w:r w:rsidRPr="00384075">
              <w:rPr>
                <w:snapToGrid w:val="0"/>
                <w:sz w:val="24"/>
                <w:szCs w:val="24"/>
              </w:rPr>
              <w:t>Nu au fost identificate.</w:t>
            </w:r>
          </w:p>
        </w:tc>
      </w:tr>
      <w:tr w:rsidR="00384075" w:rsidRPr="00384075" w14:paraId="4C161069" w14:textId="77777777" w:rsidTr="00D66EA6">
        <w:trPr>
          <w:jc w:val="center"/>
        </w:trPr>
        <w:tc>
          <w:tcPr>
            <w:tcW w:w="10335" w:type="dxa"/>
            <w:gridSpan w:val="7"/>
          </w:tcPr>
          <w:p w14:paraId="73275D99" w14:textId="77777777" w:rsidR="0050365C" w:rsidRPr="00384075" w:rsidRDefault="0050365C" w:rsidP="0050365C">
            <w:pPr>
              <w:jc w:val="center"/>
              <w:rPr>
                <w:b/>
                <w:sz w:val="24"/>
                <w:szCs w:val="24"/>
                <w:lang w:eastAsia="en-US"/>
              </w:rPr>
            </w:pPr>
          </w:p>
          <w:p w14:paraId="483EB13D" w14:textId="77777777" w:rsidR="00E26F01" w:rsidRPr="00384075" w:rsidRDefault="00A62022" w:rsidP="0050365C">
            <w:pPr>
              <w:jc w:val="center"/>
              <w:rPr>
                <w:b/>
                <w:sz w:val="24"/>
                <w:szCs w:val="24"/>
                <w:lang w:eastAsia="en-US"/>
              </w:rPr>
            </w:pPr>
            <w:r w:rsidRPr="00384075">
              <w:rPr>
                <w:b/>
                <w:sz w:val="24"/>
                <w:szCs w:val="24"/>
                <w:lang w:eastAsia="en-US"/>
              </w:rPr>
              <w:t xml:space="preserve">Secțiunea a 4 –a </w:t>
            </w:r>
          </w:p>
          <w:p w14:paraId="28225857" w14:textId="77777777" w:rsidR="00A62022" w:rsidRPr="00384075" w:rsidRDefault="00A62022" w:rsidP="0050365C">
            <w:pPr>
              <w:jc w:val="center"/>
              <w:rPr>
                <w:b/>
                <w:sz w:val="24"/>
                <w:szCs w:val="24"/>
                <w:lang w:eastAsia="en-US"/>
              </w:rPr>
            </w:pPr>
            <w:r w:rsidRPr="00384075">
              <w:rPr>
                <w:b/>
                <w:sz w:val="24"/>
                <w:szCs w:val="24"/>
                <w:lang w:eastAsia="en-US"/>
              </w:rPr>
              <w:t>Impactul financiar asupra bugetului general consolidat, atât pe termen scurt, pentru anul curent, cât și pe termen lung (5 ani), inclusiv informații cu privire la cheltuieli și venituri</w:t>
            </w:r>
          </w:p>
          <w:p w14:paraId="48A3B9A7" w14:textId="77777777" w:rsidR="0050365C" w:rsidRPr="00384075" w:rsidRDefault="0050365C" w:rsidP="0050365C">
            <w:pPr>
              <w:jc w:val="center"/>
              <w:rPr>
                <w:b/>
                <w:sz w:val="24"/>
                <w:szCs w:val="24"/>
                <w:lang w:eastAsia="en-US"/>
              </w:rPr>
            </w:pPr>
          </w:p>
        </w:tc>
      </w:tr>
      <w:tr w:rsidR="00384075" w:rsidRPr="00384075" w14:paraId="2C564961" w14:textId="77777777" w:rsidTr="00D66EA6">
        <w:trPr>
          <w:jc w:val="center"/>
        </w:trPr>
        <w:tc>
          <w:tcPr>
            <w:tcW w:w="10335" w:type="dxa"/>
            <w:gridSpan w:val="7"/>
          </w:tcPr>
          <w:p w14:paraId="058076B2" w14:textId="77777777" w:rsidR="00A62022" w:rsidRPr="00384075" w:rsidRDefault="00A62022" w:rsidP="0050365C">
            <w:pPr>
              <w:numPr>
                <w:ilvl w:val="0"/>
                <w:numId w:val="4"/>
              </w:numPr>
              <w:spacing w:before="120" w:after="120"/>
              <w:contextualSpacing/>
              <w:jc w:val="right"/>
              <w:rPr>
                <w:rFonts w:eastAsia="Calibri"/>
                <w:sz w:val="24"/>
                <w:szCs w:val="24"/>
                <w:lang w:eastAsia="en-US"/>
              </w:rPr>
            </w:pPr>
            <w:r w:rsidRPr="00384075">
              <w:rPr>
                <w:rFonts w:eastAsia="Calibri"/>
                <w:sz w:val="24"/>
                <w:szCs w:val="24"/>
                <w:lang w:eastAsia="en-US"/>
              </w:rPr>
              <w:t>În mii lei (RON)  -</w:t>
            </w:r>
          </w:p>
        </w:tc>
      </w:tr>
      <w:tr w:rsidR="00384075" w:rsidRPr="00384075" w14:paraId="0B3EE01E" w14:textId="77777777" w:rsidTr="00D66EA6">
        <w:trPr>
          <w:jc w:val="center"/>
        </w:trPr>
        <w:tc>
          <w:tcPr>
            <w:tcW w:w="4915" w:type="dxa"/>
            <w:vAlign w:val="center"/>
          </w:tcPr>
          <w:p w14:paraId="0549E95B" w14:textId="77777777" w:rsidR="00A62022" w:rsidRPr="00384075" w:rsidRDefault="00A62022" w:rsidP="0050365C">
            <w:pPr>
              <w:spacing w:after="120"/>
              <w:ind w:firstLine="289"/>
              <w:jc w:val="center"/>
              <w:rPr>
                <w:sz w:val="24"/>
                <w:szCs w:val="24"/>
                <w:lang w:eastAsia="en-US"/>
              </w:rPr>
            </w:pPr>
            <w:r w:rsidRPr="00384075">
              <w:rPr>
                <w:sz w:val="24"/>
                <w:szCs w:val="24"/>
                <w:lang w:eastAsia="en-US"/>
              </w:rPr>
              <w:t>Indicatori</w:t>
            </w:r>
          </w:p>
        </w:tc>
        <w:tc>
          <w:tcPr>
            <w:tcW w:w="888" w:type="dxa"/>
            <w:vAlign w:val="center"/>
          </w:tcPr>
          <w:p w14:paraId="7F89F6BC" w14:textId="77777777" w:rsidR="00A62022" w:rsidRPr="00384075" w:rsidRDefault="00A62022" w:rsidP="0050365C">
            <w:pPr>
              <w:autoSpaceDE w:val="0"/>
              <w:autoSpaceDN w:val="0"/>
              <w:adjustRightInd w:val="0"/>
              <w:spacing w:before="120"/>
              <w:jc w:val="center"/>
              <w:rPr>
                <w:sz w:val="24"/>
                <w:szCs w:val="24"/>
                <w:lang w:eastAsia="en-US"/>
              </w:rPr>
            </w:pPr>
            <w:r w:rsidRPr="00384075">
              <w:rPr>
                <w:sz w:val="24"/>
                <w:szCs w:val="24"/>
                <w:lang w:eastAsia="en-US"/>
              </w:rPr>
              <w:t>Anul curent</w:t>
            </w:r>
          </w:p>
        </w:tc>
        <w:tc>
          <w:tcPr>
            <w:tcW w:w="3488" w:type="dxa"/>
            <w:gridSpan w:val="4"/>
            <w:vAlign w:val="center"/>
          </w:tcPr>
          <w:p w14:paraId="6ACB90B7" w14:textId="77777777" w:rsidR="00A62022" w:rsidRPr="00384075" w:rsidRDefault="00A62022" w:rsidP="0050365C">
            <w:pPr>
              <w:autoSpaceDE w:val="0"/>
              <w:autoSpaceDN w:val="0"/>
              <w:adjustRightInd w:val="0"/>
              <w:jc w:val="center"/>
              <w:rPr>
                <w:sz w:val="24"/>
                <w:szCs w:val="24"/>
                <w:lang w:eastAsia="en-US"/>
              </w:rPr>
            </w:pPr>
            <w:r w:rsidRPr="00384075">
              <w:rPr>
                <w:sz w:val="24"/>
                <w:szCs w:val="24"/>
                <w:lang w:eastAsia="en-US"/>
              </w:rPr>
              <w:t>Următorii 4 ani</w:t>
            </w:r>
          </w:p>
        </w:tc>
        <w:tc>
          <w:tcPr>
            <w:tcW w:w="1044" w:type="dxa"/>
            <w:vAlign w:val="center"/>
          </w:tcPr>
          <w:p w14:paraId="1E7BB797" w14:textId="77777777" w:rsidR="00A62022" w:rsidRPr="00384075" w:rsidRDefault="00A62022" w:rsidP="0050365C">
            <w:pPr>
              <w:autoSpaceDE w:val="0"/>
              <w:autoSpaceDN w:val="0"/>
              <w:adjustRightInd w:val="0"/>
              <w:jc w:val="center"/>
              <w:rPr>
                <w:sz w:val="24"/>
                <w:szCs w:val="24"/>
                <w:lang w:eastAsia="en-US"/>
              </w:rPr>
            </w:pPr>
            <w:r w:rsidRPr="00384075">
              <w:rPr>
                <w:sz w:val="24"/>
                <w:szCs w:val="24"/>
                <w:lang w:eastAsia="en-US"/>
              </w:rPr>
              <w:t>Media pe 5 ani</w:t>
            </w:r>
          </w:p>
        </w:tc>
      </w:tr>
      <w:tr w:rsidR="00384075" w:rsidRPr="00384075" w14:paraId="0CDDC788" w14:textId="77777777" w:rsidTr="00D66EA6">
        <w:trPr>
          <w:jc w:val="center"/>
        </w:trPr>
        <w:tc>
          <w:tcPr>
            <w:tcW w:w="4915" w:type="dxa"/>
            <w:vAlign w:val="center"/>
          </w:tcPr>
          <w:p w14:paraId="0628A496" w14:textId="77777777" w:rsidR="00A62022" w:rsidRPr="00384075" w:rsidRDefault="00A62022" w:rsidP="0050365C">
            <w:pPr>
              <w:spacing w:after="120"/>
              <w:ind w:firstLine="289"/>
              <w:jc w:val="center"/>
              <w:rPr>
                <w:sz w:val="24"/>
                <w:szCs w:val="24"/>
                <w:lang w:eastAsia="en-US"/>
              </w:rPr>
            </w:pPr>
            <w:r w:rsidRPr="00384075">
              <w:rPr>
                <w:sz w:val="24"/>
                <w:szCs w:val="24"/>
                <w:lang w:eastAsia="en-US"/>
              </w:rPr>
              <w:t>1</w:t>
            </w:r>
          </w:p>
        </w:tc>
        <w:tc>
          <w:tcPr>
            <w:tcW w:w="888" w:type="dxa"/>
            <w:vAlign w:val="center"/>
          </w:tcPr>
          <w:p w14:paraId="603EBF1E" w14:textId="77777777" w:rsidR="00A62022" w:rsidRPr="00384075" w:rsidRDefault="00A62022" w:rsidP="0050365C">
            <w:pPr>
              <w:autoSpaceDE w:val="0"/>
              <w:autoSpaceDN w:val="0"/>
              <w:adjustRightInd w:val="0"/>
              <w:spacing w:before="120"/>
              <w:jc w:val="center"/>
              <w:rPr>
                <w:sz w:val="24"/>
                <w:szCs w:val="24"/>
                <w:lang w:eastAsia="en-US"/>
              </w:rPr>
            </w:pPr>
            <w:r w:rsidRPr="00384075">
              <w:rPr>
                <w:sz w:val="24"/>
                <w:szCs w:val="24"/>
                <w:lang w:eastAsia="en-US"/>
              </w:rPr>
              <w:t>2</w:t>
            </w:r>
          </w:p>
        </w:tc>
        <w:tc>
          <w:tcPr>
            <w:tcW w:w="859" w:type="dxa"/>
            <w:vAlign w:val="center"/>
          </w:tcPr>
          <w:p w14:paraId="6236DDAE" w14:textId="77777777" w:rsidR="00A62022" w:rsidRPr="00384075" w:rsidRDefault="00A62022" w:rsidP="0050365C">
            <w:pPr>
              <w:autoSpaceDE w:val="0"/>
              <w:autoSpaceDN w:val="0"/>
              <w:adjustRightInd w:val="0"/>
              <w:jc w:val="center"/>
              <w:rPr>
                <w:sz w:val="24"/>
                <w:szCs w:val="24"/>
                <w:lang w:eastAsia="en-US"/>
              </w:rPr>
            </w:pPr>
            <w:r w:rsidRPr="00384075">
              <w:rPr>
                <w:sz w:val="24"/>
                <w:szCs w:val="24"/>
                <w:lang w:eastAsia="en-US"/>
              </w:rPr>
              <w:t>3</w:t>
            </w:r>
          </w:p>
        </w:tc>
        <w:tc>
          <w:tcPr>
            <w:tcW w:w="971" w:type="dxa"/>
            <w:vAlign w:val="center"/>
          </w:tcPr>
          <w:p w14:paraId="6DE338BF" w14:textId="77777777" w:rsidR="00A62022" w:rsidRPr="00384075" w:rsidRDefault="00A62022" w:rsidP="0050365C">
            <w:pPr>
              <w:autoSpaceDE w:val="0"/>
              <w:autoSpaceDN w:val="0"/>
              <w:adjustRightInd w:val="0"/>
              <w:jc w:val="center"/>
              <w:rPr>
                <w:sz w:val="24"/>
                <w:szCs w:val="24"/>
                <w:lang w:eastAsia="en-US"/>
              </w:rPr>
            </w:pPr>
            <w:r w:rsidRPr="00384075">
              <w:rPr>
                <w:sz w:val="24"/>
                <w:szCs w:val="24"/>
                <w:lang w:eastAsia="en-US"/>
              </w:rPr>
              <w:t>4</w:t>
            </w:r>
          </w:p>
        </w:tc>
        <w:tc>
          <w:tcPr>
            <w:tcW w:w="859" w:type="dxa"/>
            <w:vAlign w:val="center"/>
          </w:tcPr>
          <w:p w14:paraId="4104DDBD" w14:textId="77777777" w:rsidR="00A62022" w:rsidRPr="00384075" w:rsidRDefault="00A62022" w:rsidP="0050365C">
            <w:pPr>
              <w:autoSpaceDE w:val="0"/>
              <w:autoSpaceDN w:val="0"/>
              <w:adjustRightInd w:val="0"/>
              <w:jc w:val="center"/>
              <w:rPr>
                <w:sz w:val="24"/>
                <w:szCs w:val="24"/>
                <w:lang w:eastAsia="en-US"/>
              </w:rPr>
            </w:pPr>
            <w:r w:rsidRPr="00384075">
              <w:rPr>
                <w:sz w:val="24"/>
                <w:szCs w:val="24"/>
                <w:lang w:eastAsia="en-US"/>
              </w:rPr>
              <w:t>5</w:t>
            </w:r>
          </w:p>
        </w:tc>
        <w:tc>
          <w:tcPr>
            <w:tcW w:w="799" w:type="dxa"/>
            <w:vAlign w:val="center"/>
          </w:tcPr>
          <w:p w14:paraId="72BB7A4B" w14:textId="77777777" w:rsidR="00A62022" w:rsidRPr="00384075" w:rsidRDefault="00A62022" w:rsidP="0050365C">
            <w:pPr>
              <w:autoSpaceDE w:val="0"/>
              <w:autoSpaceDN w:val="0"/>
              <w:adjustRightInd w:val="0"/>
              <w:jc w:val="center"/>
              <w:rPr>
                <w:sz w:val="24"/>
                <w:szCs w:val="24"/>
                <w:lang w:eastAsia="en-US"/>
              </w:rPr>
            </w:pPr>
            <w:r w:rsidRPr="00384075">
              <w:rPr>
                <w:sz w:val="24"/>
                <w:szCs w:val="24"/>
                <w:lang w:eastAsia="en-US"/>
              </w:rPr>
              <w:t>6</w:t>
            </w:r>
          </w:p>
        </w:tc>
        <w:tc>
          <w:tcPr>
            <w:tcW w:w="1044" w:type="dxa"/>
            <w:vAlign w:val="center"/>
          </w:tcPr>
          <w:p w14:paraId="1D4F78E6" w14:textId="77777777" w:rsidR="00A62022" w:rsidRPr="00384075" w:rsidRDefault="00A62022" w:rsidP="0050365C">
            <w:pPr>
              <w:autoSpaceDE w:val="0"/>
              <w:autoSpaceDN w:val="0"/>
              <w:adjustRightInd w:val="0"/>
              <w:jc w:val="center"/>
              <w:rPr>
                <w:sz w:val="24"/>
                <w:szCs w:val="24"/>
                <w:lang w:eastAsia="en-US"/>
              </w:rPr>
            </w:pPr>
            <w:r w:rsidRPr="00384075">
              <w:rPr>
                <w:sz w:val="24"/>
                <w:szCs w:val="24"/>
                <w:lang w:eastAsia="en-US"/>
              </w:rPr>
              <w:t>7</w:t>
            </w:r>
          </w:p>
        </w:tc>
      </w:tr>
      <w:tr w:rsidR="00384075" w:rsidRPr="00384075" w14:paraId="044F2A9F" w14:textId="77777777" w:rsidTr="00D66EA6">
        <w:trPr>
          <w:jc w:val="center"/>
        </w:trPr>
        <w:tc>
          <w:tcPr>
            <w:tcW w:w="4915" w:type="dxa"/>
          </w:tcPr>
          <w:p w14:paraId="333C53D2" w14:textId="2E523B1B" w:rsidR="00A62022" w:rsidRPr="00384075" w:rsidRDefault="00A62022" w:rsidP="0050365C">
            <w:pPr>
              <w:jc w:val="both"/>
              <w:rPr>
                <w:rFonts w:eastAsia="Calibri"/>
                <w:sz w:val="24"/>
                <w:szCs w:val="24"/>
                <w:lang w:eastAsia="en-US"/>
              </w:rPr>
            </w:pPr>
            <w:r w:rsidRPr="00384075">
              <w:rPr>
                <w:rFonts w:eastAsia="Calibri"/>
                <w:sz w:val="24"/>
                <w:szCs w:val="24"/>
                <w:lang w:eastAsia="en-US"/>
              </w:rPr>
              <w:t>4.1.</w:t>
            </w:r>
            <w:r w:rsidR="007439FA" w:rsidRPr="00384075">
              <w:rPr>
                <w:rFonts w:eastAsia="Calibri"/>
                <w:sz w:val="24"/>
                <w:szCs w:val="24"/>
                <w:lang w:eastAsia="en-US"/>
              </w:rPr>
              <w:t xml:space="preserve"> </w:t>
            </w:r>
            <w:r w:rsidRPr="00384075">
              <w:rPr>
                <w:rFonts w:eastAsia="Calibri"/>
                <w:sz w:val="24"/>
                <w:szCs w:val="24"/>
                <w:lang w:eastAsia="en-US"/>
              </w:rPr>
              <w:t xml:space="preserve">Modificări ale veniturilor bugetare, plus / minus, din care: </w:t>
            </w:r>
          </w:p>
          <w:p w14:paraId="2C686799" w14:textId="77777777" w:rsidR="00A62022" w:rsidRPr="00384075" w:rsidRDefault="00A62022" w:rsidP="0050365C">
            <w:pPr>
              <w:ind w:left="289"/>
              <w:jc w:val="both"/>
              <w:rPr>
                <w:sz w:val="24"/>
                <w:szCs w:val="24"/>
                <w:lang w:eastAsia="en-US"/>
              </w:rPr>
            </w:pPr>
            <w:r w:rsidRPr="00384075">
              <w:rPr>
                <w:sz w:val="24"/>
                <w:szCs w:val="24"/>
                <w:lang w:eastAsia="en-US"/>
              </w:rPr>
              <w:t>a)  buget de stat, din acesta:</w:t>
            </w:r>
          </w:p>
          <w:p w14:paraId="3C5B16EC" w14:textId="77777777" w:rsidR="00A62022" w:rsidRPr="00384075" w:rsidRDefault="00A62022" w:rsidP="0050365C">
            <w:pPr>
              <w:ind w:left="289" w:firstLine="289"/>
              <w:jc w:val="both"/>
              <w:rPr>
                <w:sz w:val="24"/>
                <w:szCs w:val="24"/>
                <w:lang w:eastAsia="en-US"/>
              </w:rPr>
            </w:pPr>
            <w:r w:rsidRPr="00384075">
              <w:rPr>
                <w:sz w:val="24"/>
                <w:szCs w:val="24"/>
                <w:lang w:eastAsia="en-US"/>
              </w:rPr>
              <w:t>i) impozit pe profit</w:t>
            </w:r>
          </w:p>
          <w:p w14:paraId="0D8B3A5F" w14:textId="77777777" w:rsidR="00A62022" w:rsidRPr="00384075" w:rsidRDefault="00A62022" w:rsidP="0050365C">
            <w:pPr>
              <w:ind w:left="289" w:firstLine="289"/>
              <w:jc w:val="both"/>
              <w:rPr>
                <w:sz w:val="24"/>
                <w:szCs w:val="24"/>
                <w:lang w:eastAsia="en-US"/>
              </w:rPr>
            </w:pPr>
            <w:r w:rsidRPr="00384075">
              <w:rPr>
                <w:sz w:val="24"/>
                <w:szCs w:val="24"/>
                <w:lang w:eastAsia="en-US"/>
              </w:rPr>
              <w:t>ii) impozit pe venit</w:t>
            </w:r>
          </w:p>
          <w:p w14:paraId="314B11CC" w14:textId="77777777" w:rsidR="00A62022" w:rsidRPr="00384075" w:rsidRDefault="00A62022" w:rsidP="0050365C">
            <w:pPr>
              <w:ind w:left="289"/>
              <w:jc w:val="both"/>
              <w:rPr>
                <w:sz w:val="24"/>
                <w:szCs w:val="24"/>
                <w:lang w:eastAsia="en-US"/>
              </w:rPr>
            </w:pPr>
            <w:r w:rsidRPr="00384075">
              <w:rPr>
                <w:sz w:val="24"/>
                <w:szCs w:val="24"/>
                <w:lang w:eastAsia="en-US"/>
              </w:rPr>
              <w:t>b) bugete locale:</w:t>
            </w:r>
          </w:p>
          <w:p w14:paraId="27F69D4C" w14:textId="77777777" w:rsidR="00A62022" w:rsidRPr="00384075" w:rsidRDefault="00A62022" w:rsidP="0050365C">
            <w:pPr>
              <w:ind w:left="289" w:firstLine="289"/>
              <w:jc w:val="both"/>
              <w:rPr>
                <w:sz w:val="24"/>
                <w:szCs w:val="24"/>
                <w:lang w:eastAsia="en-US"/>
              </w:rPr>
            </w:pPr>
            <w:r w:rsidRPr="00384075">
              <w:rPr>
                <w:sz w:val="24"/>
                <w:szCs w:val="24"/>
                <w:lang w:eastAsia="en-US"/>
              </w:rPr>
              <w:t>i) impozit pe profit</w:t>
            </w:r>
          </w:p>
          <w:p w14:paraId="3AFD2C73" w14:textId="77777777" w:rsidR="00A62022" w:rsidRPr="00384075" w:rsidRDefault="00A62022" w:rsidP="0050365C">
            <w:pPr>
              <w:ind w:left="289"/>
              <w:jc w:val="both"/>
              <w:rPr>
                <w:sz w:val="24"/>
                <w:szCs w:val="24"/>
                <w:lang w:eastAsia="en-US"/>
              </w:rPr>
            </w:pPr>
            <w:r w:rsidRPr="00384075">
              <w:rPr>
                <w:sz w:val="24"/>
                <w:szCs w:val="24"/>
                <w:lang w:eastAsia="en-US"/>
              </w:rPr>
              <w:t>c) bugetul asigurărilor sociale de stat:</w:t>
            </w:r>
          </w:p>
          <w:p w14:paraId="1D9F0854" w14:textId="77777777" w:rsidR="00A62022" w:rsidRPr="00384075" w:rsidRDefault="00A62022" w:rsidP="0050365C">
            <w:pPr>
              <w:spacing w:after="120"/>
              <w:ind w:left="289" w:firstLine="289"/>
              <w:jc w:val="both"/>
              <w:rPr>
                <w:sz w:val="24"/>
                <w:szCs w:val="24"/>
                <w:lang w:eastAsia="en-US"/>
              </w:rPr>
            </w:pPr>
            <w:r w:rsidRPr="00384075">
              <w:rPr>
                <w:sz w:val="24"/>
                <w:szCs w:val="24"/>
                <w:lang w:eastAsia="en-US"/>
              </w:rPr>
              <w:t>i) contribuții de asigurări</w:t>
            </w:r>
          </w:p>
          <w:p w14:paraId="790F3C1B" w14:textId="77777777" w:rsidR="00A62022" w:rsidRPr="00384075" w:rsidRDefault="00A62022" w:rsidP="0050365C">
            <w:pPr>
              <w:spacing w:after="120"/>
              <w:jc w:val="both"/>
              <w:rPr>
                <w:sz w:val="24"/>
                <w:szCs w:val="24"/>
                <w:lang w:eastAsia="en-US"/>
              </w:rPr>
            </w:pPr>
            <w:r w:rsidRPr="00384075">
              <w:rPr>
                <w:sz w:val="24"/>
                <w:szCs w:val="24"/>
                <w:lang w:eastAsia="en-US"/>
              </w:rPr>
              <w:t xml:space="preserve">    d) alte tipuri de venituri (se va menționa natura acestora)</w:t>
            </w:r>
          </w:p>
        </w:tc>
        <w:tc>
          <w:tcPr>
            <w:tcW w:w="5420" w:type="dxa"/>
            <w:gridSpan w:val="6"/>
          </w:tcPr>
          <w:p w14:paraId="5881BD7C" w14:textId="77777777" w:rsidR="00A62022" w:rsidRPr="00384075" w:rsidRDefault="00554D03" w:rsidP="0050365C">
            <w:pPr>
              <w:spacing w:before="120"/>
              <w:rPr>
                <w:sz w:val="24"/>
                <w:szCs w:val="24"/>
                <w:lang w:eastAsia="en-US"/>
              </w:rPr>
            </w:pPr>
            <w:r w:rsidRPr="00384075">
              <w:rPr>
                <w:sz w:val="24"/>
                <w:szCs w:val="24"/>
              </w:rPr>
              <w:t>Nu este cazul</w:t>
            </w:r>
          </w:p>
        </w:tc>
      </w:tr>
      <w:tr w:rsidR="00384075" w:rsidRPr="00384075" w14:paraId="3956B13A" w14:textId="77777777" w:rsidTr="00D66EA6">
        <w:trPr>
          <w:jc w:val="center"/>
        </w:trPr>
        <w:tc>
          <w:tcPr>
            <w:tcW w:w="4915" w:type="dxa"/>
          </w:tcPr>
          <w:p w14:paraId="6C22D0CE" w14:textId="77777777" w:rsidR="00A62022" w:rsidRPr="00384075" w:rsidRDefault="00A62022" w:rsidP="0050365C">
            <w:pPr>
              <w:jc w:val="both"/>
              <w:rPr>
                <w:sz w:val="24"/>
                <w:szCs w:val="24"/>
                <w:lang w:eastAsia="en-US"/>
              </w:rPr>
            </w:pPr>
            <w:r w:rsidRPr="00384075">
              <w:rPr>
                <w:sz w:val="24"/>
                <w:szCs w:val="24"/>
                <w:lang w:eastAsia="en-US"/>
              </w:rPr>
              <w:t xml:space="preserve">4.2. Modificări ale cheltuielilor bugetare, plus / minus, din care: </w:t>
            </w:r>
          </w:p>
          <w:p w14:paraId="0EB14DC6" w14:textId="77777777" w:rsidR="00A62022" w:rsidRPr="00384075" w:rsidRDefault="00A62022" w:rsidP="0050365C">
            <w:pPr>
              <w:ind w:left="287"/>
              <w:jc w:val="both"/>
              <w:rPr>
                <w:sz w:val="24"/>
                <w:szCs w:val="24"/>
                <w:lang w:eastAsia="en-US"/>
              </w:rPr>
            </w:pPr>
            <w:r w:rsidRPr="00384075">
              <w:rPr>
                <w:sz w:val="24"/>
                <w:szCs w:val="24"/>
                <w:lang w:eastAsia="en-US"/>
              </w:rPr>
              <w:t xml:space="preserve">a) buget de stat, din acesta: </w:t>
            </w:r>
          </w:p>
          <w:p w14:paraId="43015DCD" w14:textId="77777777" w:rsidR="00A62022" w:rsidRPr="00384075" w:rsidRDefault="00A62022" w:rsidP="0050365C">
            <w:pPr>
              <w:ind w:left="574"/>
              <w:jc w:val="both"/>
              <w:rPr>
                <w:sz w:val="24"/>
                <w:szCs w:val="24"/>
                <w:lang w:eastAsia="en-US"/>
              </w:rPr>
            </w:pPr>
            <w:r w:rsidRPr="00384075">
              <w:rPr>
                <w:sz w:val="24"/>
                <w:szCs w:val="24"/>
                <w:lang w:eastAsia="en-US"/>
              </w:rPr>
              <w:t xml:space="preserve">(i) cheltuieli de personal </w:t>
            </w:r>
          </w:p>
          <w:p w14:paraId="26785625" w14:textId="77777777" w:rsidR="00A62022" w:rsidRPr="00384075" w:rsidRDefault="00A62022" w:rsidP="0050365C">
            <w:pPr>
              <w:ind w:left="574"/>
              <w:jc w:val="both"/>
              <w:rPr>
                <w:sz w:val="24"/>
                <w:szCs w:val="24"/>
                <w:lang w:eastAsia="en-US"/>
              </w:rPr>
            </w:pPr>
            <w:r w:rsidRPr="00384075">
              <w:rPr>
                <w:sz w:val="24"/>
                <w:szCs w:val="24"/>
                <w:lang w:eastAsia="en-US"/>
              </w:rPr>
              <w:t>(ii) bunuri și servicii</w:t>
            </w:r>
          </w:p>
          <w:p w14:paraId="718D86A8" w14:textId="77777777" w:rsidR="00A62022" w:rsidRPr="00384075" w:rsidRDefault="00A62022" w:rsidP="0050365C">
            <w:pPr>
              <w:ind w:left="570" w:hanging="238"/>
              <w:jc w:val="both"/>
              <w:rPr>
                <w:sz w:val="24"/>
                <w:szCs w:val="24"/>
                <w:lang w:eastAsia="en-US"/>
              </w:rPr>
            </w:pPr>
            <w:r w:rsidRPr="00384075">
              <w:rPr>
                <w:sz w:val="24"/>
                <w:szCs w:val="24"/>
                <w:lang w:eastAsia="en-US"/>
              </w:rPr>
              <w:t>b) bugete locale:</w:t>
            </w:r>
          </w:p>
          <w:p w14:paraId="5D73C43B" w14:textId="77777777" w:rsidR="00A62022" w:rsidRPr="00384075" w:rsidRDefault="00A62022" w:rsidP="0050365C">
            <w:pPr>
              <w:ind w:left="574"/>
              <w:jc w:val="both"/>
              <w:rPr>
                <w:sz w:val="24"/>
                <w:szCs w:val="24"/>
                <w:lang w:eastAsia="en-US"/>
              </w:rPr>
            </w:pPr>
            <w:r w:rsidRPr="00384075">
              <w:rPr>
                <w:sz w:val="24"/>
                <w:szCs w:val="24"/>
                <w:lang w:eastAsia="en-US"/>
              </w:rPr>
              <w:t xml:space="preserve"> (i) cheltuieli de personal</w:t>
            </w:r>
          </w:p>
          <w:p w14:paraId="3D3BE62C" w14:textId="77777777" w:rsidR="00A62022" w:rsidRPr="00384075" w:rsidRDefault="00A62022" w:rsidP="0050365C">
            <w:pPr>
              <w:ind w:left="574"/>
              <w:jc w:val="both"/>
              <w:rPr>
                <w:sz w:val="24"/>
                <w:szCs w:val="24"/>
                <w:lang w:eastAsia="en-US"/>
              </w:rPr>
            </w:pPr>
            <w:r w:rsidRPr="00384075">
              <w:rPr>
                <w:sz w:val="24"/>
                <w:szCs w:val="24"/>
                <w:lang w:eastAsia="en-US"/>
              </w:rPr>
              <w:t xml:space="preserve"> (ii) bunuri și servicii</w:t>
            </w:r>
          </w:p>
          <w:p w14:paraId="3DF9FE8D" w14:textId="77777777" w:rsidR="00A62022" w:rsidRPr="00384075" w:rsidRDefault="00A62022" w:rsidP="0050365C">
            <w:pPr>
              <w:ind w:left="287"/>
              <w:jc w:val="both"/>
              <w:rPr>
                <w:sz w:val="24"/>
                <w:szCs w:val="24"/>
                <w:lang w:eastAsia="en-US"/>
              </w:rPr>
            </w:pPr>
            <w:r w:rsidRPr="00384075">
              <w:rPr>
                <w:sz w:val="24"/>
                <w:szCs w:val="24"/>
                <w:lang w:eastAsia="en-US"/>
              </w:rPr>
              <w:t>c) bugetul asigurărilor sociale de stat:</w:t>
            </w:r>
          </w:p>
          <w:p w14:paraId="3AA73586" w14:textId="77777777" w:rsidR="00A62022" w:rsidRPr="00384075" w:rsidRDefault="00A62022" w:rsidP="0050365C">
            <w:pPr>
              <w:ind w:left="576"/>
              <w:jc w:val="both"/>
              <w:rPr>
                <w:sz w:val="24"/>
                <w:szCs w:val="24"/>
                <w:lang w:eastAsia="en-US"/>
              </w:rPr>
            </w:pPr>
            <w:r w:rsidRPr="00384075">
              <w:rPr>
                <w:sz w:val="24"/>
                <w:szCs w:val="24"/>
                <w:lang w:eastAsia="en-US"/>
              </w:rPr>
              <w:t>(i) cheltuieli de personal</w:t>
            </w:r>
          </w:p>
          <w:p w14:paraId="3BBD2867" w14:textId="77777777" w:rsidR="00A62022" w:rsidRPr="00384075" w:rsidRDefault="00A62022" w:rsidP="0050365C">
            <w:pPr>
              <w:ind w:left="576"/>
              <w:jc w:val="both"/>
              <w:rPr>
                <w:sz w:val="24"/>
                <w:szCs w:val="24"/>
                <w:lang w:eastAsia="en-US"/>
              </w:rPr>
            </w:pPr>
            <w:r w:rsidRPr="00384075">
              <w:rPr>
                <w:sz w:val="24"/>
                <w:szCs w:val="24"/>
                <w:lang w:eastAsia="en-US"/>
              </w:rPr>
              <w:t>(ii) bunuri și servicii</w:t>
            </w:r>
          </w:p>
          <w:p w14:paraId="62C3BF46" w14:textId="77777777" w:rsidR="00A62022" w:rsidRPr="00384075" w:rsidRDefault="00A62022" w:rsidP="0050365C">
            <w:pPr>
              <w:jc w:val="both"/>
              <w:rPr>
                <w:sz w:val="24"/>
                <w:szCs w:val="24"/>
                <w:lang w:eastAsia="en-US"/>
              </w:rPr>
            </w:pPr>
            <w:r w:rsidRPr="00384075">
              <w:rPr>
                <w:sz w:val="24"/>
                <w:szCs w:val="24"/>
                <w:lang w:eastAsia="en-US"/>
              </w:rPr>
              <w:t xml:space="preserve">    d) alte tipuri de venituri (se va menționa natura acestora)</w:t>
            </w:r>
          </w:p>
          <w:p w14:paraId="0A8DC1B1" w14:textId="77777777" w:rsidR="00A62022" w:rsidRPr="00384075" w:rsidRDefault="00A62022" w:rsidP="0050365C">
            <w:pPr>
              <w:ind w:left="576"/>
              <w:jc w:val="both"/>
              <w:rPr>
                <w:sz w:val="24"/>
                <w:szCs w:val="24"/>
                <w:lang w:eastAsia="en-US"/>
              </w:rPr>
            </w:pPr>
          </w:p>
        </w:tc>
        <w:tc>
          <w:tcPr>
            <w:tcW w:w="5420" w:type="dxa"/>
            <w:gridSpan w:val="6"/>
          </w:tcPr>
          <w:p w14:paraId="7B4C4DEF" w14:textId="77777777" w:rsidR="00A62022" w:rsidRPr="00384075" w:rsidRDefault="00A62022" w:rsidP="0050365C">
            <w:pPr>
              <w:spacing w:before="120"/>
              <w:rPr>
                <w:sz w:val="24"/>
                <w:szCs w:val="24"/>
                <w:lang w:eastAsia="en-US"/>
              </w:rPr>
            </w:pPr>
          </w:p>
        </w:tc>
      </w:tr>
      <w:tr w:rsidR="00384075" w:rsidRPr="00384075" w14:paraId="2A9B9F74" w14:textId="77777777" w:rsidTr="00D66EA6">
        <w:trPr>
          <w:jc w:val="center"/>
        </w:trPr>
        <w:tc>
          <w:tcPr>
            <w:tcW w:w="4915" w:type="dxa"/>
          </w:tcPr>
          <w:p w14:paraId="4DD9CB05" w14:textId="77777777" w:rsidR="00A62022" w:rsidRPr="00384075" w:rsidRDefault="00A62022" w:rsidP="0050365C">
            <w:pPr>
              <w:jc w:val="both"/>
              <w:rPr>
                <w:sz w:val="24"/>
                <w:szCs w:val="24"/>
                <w:lang w:eastAsia="en-US"/>
              </w:rPr>
            </w:pPr>
            <w:r w:rsidRPr="00384075">
              <w:rPr>
                <w:sz w:val="24"/>
                <w:szCs w:val="24"/>
                <w:lang w:eastAsia="en-US"/>
              </w:rPr>
              <w:t xml:space="preserve">4.3. Impact financiar, plus/minus, din care:   </w:t>
            </w:r>
          </w:p>
          <w:p w14:paraId="374E6D90" w14:textId="77777777" w:rsidR="00A62022" w:rsidRPr="00384075" w:rsidRDefault="00A62022" w:rsidP="0050365C">
            <w:pPr>
              <w:numPr>
                <w:ilvl w:val="0"/>
                <w:numId w:val="13"/>
              </w:numPr>
              <w:ind w:left="357" w:hanging="357"/>
              <w:contextualSpacing/>
              <w:jc w:val="both"/>
              <w:rPr>
                <w:rFonts w:eastAsia="Calibri"/>
                <w:sz w:val="24"/>
                <w:szCs w:val="24"/>
                <w:lang w:eastAsia="en-US"/>
              </w:rPr>
            </w:pPr>
            <w:r w:rsidRPr="00384075">
              <w:rPr>
                <w:rFonts w:eastAsia="Calibri"/>
                <w:sz w:val="24"/>
                <w:szCs w:val="24"/>
                <w:lang w:eastAsia="en-US"/>
              </w:rPr>
              <w:t xml:space="preserve">buget de stat </w:t>
            </w:r>
          </w:p>
          <w:p w14:paraId="56CDF29F" w14:textId="77777777" w:rsidR="00A62022" w:rsidRPr="00384075" w:rsidRDefault="00A62022" w:rsidP="0050365C">
            <w:pPr>
              <w:numPr>
                <w:ilvl w:val="0"/>
                <w:numId w:val="13"/>
              </w:numPr>
              <w:ind w:left="357" w:hanging="357"/>
              <w:contextualSpacing/>
              <w:jc w:val="both"/>
              <w:rPr>
                <w:rFonts w:eastAsia="Calibri"/>
                <w:sz w:val="24"/>
                <w:szCs w:val="24"/>
                <w:lang w:eastAsia="en-US"/>
              </w:rPr>
            </w:pPr>
            <w:r w:rsidRPr="00384075">
              <w:rPr>
                <w:rFonts w:eastAsia="Calibri"/>
                <w:sz w:val="24"/>
                <w:szCs w:val="24"/>
                <w:lang w:eastAsia="en-US"/>
              </w:rPr>
              <w:t xml:space="preserve">bugete locale </w:t>
            </w:r>
          </w:p>
        </w:tc>
        <w:tc>
          <w:tcPr>
            <w:tcW w:w="5420" w:type="dxa"/>
            <w:gridSpan w:val="6"/>
          </w:tcPr>
          <w:p w14:paraId="35E19847" w14:textId="77777777" w:rsidR="00A62022" w:rsidRPr="00384075" w:rsidRDefault="00A62022" w:rsidP="0050365C">
            <w:pPr>
              <w:spacing w:after="60"/>
              <w:rPr>
                <w:sz w:val="24"/>
                <w:szCs w:val="24"/>
                <w:lang w:eastAsia="en-US"/>
              </w:rPr>
            </w:pPr>
          </w:p>
        </w:tc>
      </w:tr>
      <w:tr w:rsidR="00384075" w:rsidRPr="00384075" w14:paraId="4D679BBF" w14:textId="77777777" w:rsidTr="00D66EA6">
        <w:trPr>
          <w:jc w:val="center"/>
        </w:trPr>
        <w:tc>
          <w:tcPr>
            <w:tcW w:w="4915" w:type="dxa"/>
          </w:tcPr>
          <w:p w14:paraId="2F40FFCE" w14:textId="77777777" w:rsidR="00A62022" w:rsidRPr="00384075" w:rsidRDefault="00A62022" w:rsidP="0050365C">
            <w:pPr>
              <w:spacing w:after="120"/>
              <w:jc w:val="both"/>
              <w:rPr>
                <w:sz w:val="24"/>
                <w:szCs w:val="24"/>
                <w:lang w:eastAsia="en-US"/>
              </w:rPr>
            </w:pPr>
            <w:r w:rsidRPr="00384075">
              <w:rPr>
                <w:sz w:val="24"/>
                <w:szCs w:val="24"/>
                <w:lang w:eastAsia="en-US"/>
              </w:rPr>
              <w:lastRenderedPageBreak/>
              <w:t xml:space="preserve">4.4. Propuneri pentru acoperirea creșterii cheltuielilor bugetare </w:t>
            </w:r>
          </w:p>
        </w:tc>
        <w:tc>
          <w:tcPr>
            <w:tcW w:w="5420" w:type="dxa"/>
            <w:gridSpan w:val="6"/>
          </w:tcPr>
          <w:p w14:paraId="6BA2536E" w14:textId="77777777" w:rsidR="00A62022" w:rsidRPr="00384075" w:rsidRDefault="00A62022" w:rsidP="0050365C">
            <w:pPr>
              <w:spacing w:after="60"/>
              <w:rPr>
                <w:sz w:val="24"/>
                <w:szCs w:val="24"/>
                <w:lang w:eastAsia="en-US"/>
              </w:rPr>
            </w:pPr>
          </w:p>
        </w:tc>
      </w:tr>
      <w:tr w:rsidR="00384075" w:rsidRPr="00384075" w14:paraId="7DC73758" w14:textId="77777777" w:rsidTr="00D66EA6">
        <w:trPr>
          <w:trHeight w:val="688"/>
          <w:jc w:val="center"/>
        </w:trPr>
        <w:tc>
          <w:tcPr>
            <w:tcW w:w="4915" w:type="dxa"/>
          </w:tcPr>
          <w:p w14:paraId="1ACEC0BC" w14:textId="77777777" w:rsidR="00A62022" w:rsidRPr="00384075" w:rsidRDefault="00A62022" w:rsidP="0050365C">
            <w:pPr>
              <w:spacing w:after="120"/>
              <w:jc w:val="both"/>
              <w:rPr>
                <w:sz w:val="24"/>
                <w:szCs w:val="24"/>
                <w:lang w:eastAsia="en-US"/>
              </w:rPr>
            </w:pPr>
            <w:r w:rsidRPr="00384075">
              <w:rPr>
                <w:sz w:val="24"/>
                <w:szCs w:val="24"/>
                <w:lang w:eastAsia="en-US"/>
              </w:rPr>
              <w:t xml:space="preserve">4.5. Propuneri pentru a compensa reducerea  veniturilor bugetare </w:t>
            </w:r>
          </w:p>
        </w:tc>
        <w:tc>
          <w:tcPr>
            <w:tcW w:w="5420" w:type="dxa"/>
            <w:gridSpan w:val="6"/>
          </w:tcPr>
          <w:p w14:paraId="08C4B7AE" w14:textId="77777777" w:rsidR="00A62022" w:rsidRPr="00384075" w:rsidRDefault="00A62022" w:rsidP="0050365C">
            <w:pPr>
              <w:spacing w:after="60"/>
              <w:rPr>
                <w:sz w:val="24"/>
                <w:szCs w:val="24"/>
                <w:lang w:eastAsia="en-US"/>
              </w:rPr>
            </w:pPr>
          </w:p>
        </w:tc>
      </w:tr>
      <w:tr w:rsidR="00384075" w:rsidRPr="00384075" w14:paraId="134FC80F" w14:textId="77777777" w:rsidTr="00D66EA6">
        <w:trPr>
          <w:trHeight w:val="871"/>
          <w:jc w:val="center"/>
        </w:trPr>
        <w:tc>
          <w:tcPr>
            <w:tcW w:w="4915" w:type="dxa"/>
          </w:tcPr>
          <w:p w14:paraId="5EA32074" w14:textId="77777777" w:rsidR="00A62022" w:rsidRPr="00384075" w:rsidRDefault="00A62022" w:rsidP="0050365C">
            <w:pPr>
              <w:spacing w:after="120"/>
              <w:jc w:val="both"/>
              <w:rPr>
                <w:sz w:val="24"/>
                <w:szCs w:val="24"/>
                <w:lang w:eastAsia="en-US"/>
              </w:rPr>
            </w:pPr>
            <w:r w:rsidRPr="00384075">
              <w:rPr>
                <w:sz w:val="24"/>
                <w:szCs w:val="24"/>
                <w:lang w:eastAsia="en-US"/>
              </w:rPr>
              <w:t xml:space="preserve">4.6. Calcule detaliate privind fundamentarea modificărilor veniturilor și/sau cheltuielilor bugetare </w:t>
            </w:r>
          </w:p>
        </w:tc>
        <w:tc>
          <w:tcPr>
            <w:tcW w:w="5420" w:type="dxa"/>
            <w:gridSpan w:val="6"/>
          </w:tcPr>
          <w:p w14:paraId="3320FB27" w14:textId="77777777" w:rsidR="00A62022" w:rsidRPr="00384075" w:rsidRDefault="00A62022" w:rsidP="0050365C">
            <w:pPr>
              <w:spacing w:after="60"/>
              <w:jc w:val="both"/>
              <w:rPr>
                <w:sz w:val="24"/>
                <w:szCs w:val="24"/>
                <w:lang w:eastAsia="en-US"/>
              </w:rPr>
            </w:pPr>
          </w:p>
        </w:tc>
      </w:tr>
      <w:tr w:rsidR="00384075" w:rsidRPr="00384075" w14:paraId="2BE693E2" w14:textId="77777777" w:rsidTr="00D66EA6">
        <w:trPr>
          <w:trHeight w:val="871"/>
          <w:jc w:val="center"/>
        </w:trPr>
        <w:tc>
          <w:tcPr>
            <w:tcW w:w="4915" w:type="dxa"/>
          </w:tcPr>
          <w:p w14:paraId="76BAA676" w14:textId="77777777" w:rsidR="00A62022" w:rsidRPr="00384075" w:rsidRDefault="00A62022" w:rsidP="0050365C">
            <w:pPr>
              <w:spacing w:before="120" w:after="120"/>
              <w:jc w:val="both"/>
              <w:rPr>
                <w:sz w:val="24"/>
                <w:szCs w:val="24"/>
                <w:lang w:eastAsia="en-US"/>
              </w:rPr>
            </w:pPr>
            <w:r w:rsidRPr="00384075">
              <w:rPr>
                <w:sz w:val="24"/>
                <w:szCs w:val="24"/>
                <w:lang w:eastAsia="en-US"/>
              </w:rPr>
              <w:t>4.7. Prezentarea, în cazul proiectelor de acte normative a căror adoptare atrage majorarea cheltuielilor bugetare, a următoarelor documente:</w:t>
            </w:r>
          </w:p>
          <w:p w14:paraId="7190F3DA" w14:textId="77777777" w:rsidR="00A62022" w:rsidRPr="00384075" w:rsidRDefault="00A62022" w:rsidP="0050365C">
            <w:pPr>
              <w:spacing w:before="120" w:after="120"/>
              <w:jc w:val="both"/>
              <w:rPr>
                <w:i/>
                <w:iCs/>
                <w:sz w:val="24"/>
                <w:szCs w:val="24"/>
                <w:lang w:eastAsia="en-US"/>
              </w:rPr>
            </w:pPr>
            <w:r w:rsidRPr="00384075">
              <w:rPr>
                <w:sz w:val="24"/>
                <w:szCs w:val="24"/>
                <w:lang w:eastAsia="en-US"/>
              </w:rPr>
              <w:t xml:space="preserve">a) </w:t>
            </w:r>
            <w:r w:rsidRPr="00384075">
              <w:rPr>
                <w:i/>
                <w:iCs/>
                <w:sz w:val="24"/>
                <w:szCs w:val="24"/>
                <w:lang w:eastAsia="en-US"/>
              </w:rPr>
              <w:t>fișa financiară prevăzută la art.15 din Legea nr. 500/2002 privind finanțele publice, cu modificările și completările ulterioare, însoțită de ipotezele și metodologia de calcul utilizată;</w:t>
            </w:r>
          </w:p>
          <w:p w14:paraId="60E7DD1E" w14:textId="06CA723B" w:rsidR="00A62022" w:rsidRPr="00384075" w:rsidRDefault="00A62022" w:rsidP="0050365C">
            <w:pPr>
              <w:spacing w:before="120" w:after="120"/>
              <w:jc w:val="both"/>
              <w:rPr>
                <w:sz w:val="24"/>
                <w:szCs w:val="24"/>
                <w:lang w:eastAsia="en-US"/>
              </w:rPr>
            </w:pPr>
            <w:r w:rsidRPr="00384075">
              <w:rPr>
                <w:i/>
                <w:iCs/>
                <w:sz w:val="24"/>
                <w:szCs w:val="24"/>
                <w:lang w:eastAsia="en-US"/>
              </w:rPr>
              <w:t>b) declarație conform căreia majorarea de cheltuială respectivă este compatibilă cu obiectivele și prioritățile strategice specificate în strategia fiscal-bugetară, cu legea bugetară anuală și cu plafoanele de cheltuieli prezentate</w:t>
            </w:r>
            <w:r w:rsidRPr="00384075">
              <w:rPr>
                <w:sz w:val="24"/>
                <w:szCs w:val="24"/>
                <w:lang w:eastAsia="en-US"/>
              </w:rPr>
              <w:t xml:space="preserve"> în strategia fisca</w:t>
            </w:r>
            <w:r w:rsidR="00203007" w:rsidRPr="00384075">
              <w:rPr>
                <w:sz w:val="24"/>
                <w:szCs w:val="24"/>
                <w:lang w:eastAsia="en-US"/>
              </w:rPr>
              <w:t>l</w:t>
            </w:r>
            <w:r w:rsidRPr="00384075">
              <w:rPr>
                <w:sz w:val="24"/>
                <w:szCs w:val="24"/>
                <w:lang w:eastAsia="en-US"/>
              </w:rPr>
              <w:t>-bugetară</w:t>
            </w:r>
          </w:p>
        </w:tc>
        <w:tc>
          <w:tcPr>
            <w:tcW w:w="5420" w:type="dxa"/>
            <w:gridSpan w:val="6"/>
          </w:tcPr>
          <w:p w14:paraId="3A1AA988" w14:textId="77777777" w:rsidR="00A62022" w:rsidRPr="00384075" w:rsidRDefault="00A62022" w:rsidP="0050365C">
            <w:pPr>
              <w:spacing w:before="120" w:after="60"/>
              <w:jc w:val="both"/>
              <w:rPr>
                <w:sz w:val="24"/>
                <w:szCs w:val="24"/>
                <w:lang w:eastAsia="en-US"/>
              </w:rPr>
            </w:pPr>
          </w:p>
        </w:tc>
      </w:tr>
      <w:tr w:rsidR="00384075" w:rsidRPr="00384075" w14:paraId="469CE360" w14:textId="77777777" w:rsidTr="00D66EA6">
        <w:trPr>
          <w:jc w:val="center"/>
        </w:trPr>
        <w:tc>
          <w:tcPr>
            <w:tcW w:w="4915" w:type="dxa"/>
          </w:tcPr>
          <w:p w14:paraId="47C417E6" w14:textId="77777777" w:rsidR="00A62022" w:rsidRPr="00384075" w:rsidRDefault="00A62022" w:rsidP="0050365C">
            <w:pPr>
              <w:spacing w:before="120" w:after="120"/>
              <w:jc w:val="both"/>
              <w:rPr>
                <w:sz w:val="24"/>
                <w:szCs w:val="24"/>
                <w:lang w:eastAsia="en-US"/>
              </w:rPr>
            </w:pPr>
            <w:r w:rsidRPr="00384075">
              <w:rPr>
                <w:sz w:val="24"/>
                <w:szCs w:val="24"/>
                <w:lang w:eastAsia="en-US"/>
              </w:rPr>
              <w:t xml:space="preserve">4.8. Alte informații </w:t>
            </w:r>
          </w:p>
        </w:tc>
        <w:tc>
          <w:tcPr>
            <w:tcW w:w="5420" w:type="dxa"/>
            <w:gridSpan w:val="6"/>
          </w:tcPr>
          <w:p w14:paraId="48D5A161" w14:textId="77777777" w:rsidR="00A62022" w:rsidRPr="00384075" w:rsidRDefault="00554D03" w:rsidP="0050365C">
            <w:pPr>
              <w:spacing w:before="120" w:after="60"/>
              <w:jc w:val="both"/>
              <w:rPr>
                <w:sz w:val="24"/>
                <w:szCs w:val="24"/>
                <w:lang w:eastAsia="en-US"/>
              </w:rPr>
            </w:pPr>
            <w:r w:rsidRPr="00384075">
              <w:rPr>
                <w:sz w:val="24"/>
                <w:szCs w:val="24"/>
                <w:lang w:val="pt-PT"/>
              </w:rPr>
              <w:t>Nu au fost identificate</w:t>
            </w:r>
            <w:r w:rsidRPr="00384075">
              <w:rPr>
                <w:sz w:val="24"/>
                <w:szCs w:val="24"/>
                <w:lang w:eastAsia="en-US"/>
              </w:rPr>
              <w:t xml:space="preserve"> </w:t>
            </w:r>
          </w:p>
        </w:tc>
      </w:tr>
      <w:tr w:rsidR="00384075" w:rsidRPr="00384075" w14:paraId="4451977B" w14:textId="77777777" w:rsidTr="00D66EA6">
        <w:trPr>
          <w:jc w:val="center"/>
        </w:trPr>
        <w:tc>
          <w:tcPr>
            <w:tcW w:w="10335" w:type="dxa"/>
            <w:gridSpan w:val="7"/>
          </w:tcPr>
          <w:p w14:paraId="0BCBAB40" w14:textId="77777777" w:rsidR="0050365C" w:rsidRPr="00384075" w:rsidRDefault="0050365C" w:rsidP="0050365C">
            <w:pPr>
              <w:jc w:val="center"/>
              <w:rPr>
                <w:b/>
                <w:sz w:val="24"/>
                <w:szCs w:val="24"/>
                <w:lang w:eastAsia="en-US"/>
              </w:rPr>
            </w:pPr>
          </w:p>
          <w:p w14:paraId="1F7573C5" w14:textId="77777777" w:rsidR="00A62022" w:rsidRPr="00384075" w:rsidRDefault="00A62022" w:rsidP="0050365C">
            <w:pPr>
              <w:jc w:val="center"/>
              <w:rPr>
                <w:b/>
                <w:sz w:val="24"/>
                <w:szCs w:val="24"/>
                <w:lang w:eastAsia="en-US"/>
              </w:rPr>
            </w:pPr>
            <w:r w:rsidRPr="00384075">
              <w:rPr>
                <w:b/>
                <w:sz w:val="24"/>
                <w:szCs w:val="24"/>
                <w:lang w:eastAsia="en-US"/>
              </w:rPr>
              <w:t>Secțiunea a 5-a</w:t>
            </w:r>
          </w:p>
          <w:p w14:paraId="77E704E9" w14:textId="77777777" w:rsidR="0050365C" w:rsidRPr="00384075" w:rsidRDefault="00A62022" w:rsidP="0050365C">
            <w:pPr>
              <w:jc w:val="center"/>
              <w:rPr>
                <w:b/>
                <w:sz w:val="24"/>
                <w:szCs w:val="24"/>
                <w:lang w:eastAsia="en-US"/>
              </w:rPr>
            </w:pPr>
            <w:r w:rsidRPr="00384075">
              <w:rPr>
                <w:b/>
                <w:sz w:val="24"/>
                <w:szCs w:val="24"/>
                <w:lang w:eastAsia="en-US"/>
              </w:rPr>
              <w:t>Efectele actului normativ asupra legislației în vigoare</w:t>
            </w:r>
          </w:p>
          <w:p w14:paraId="74B44F42" w14:textId="77777777" w:rsidR="0050365C" w:rsidRPr="00384075" w:rsidRDefault="0050365C" w:rsidP="0050365C">
            <w:pPr>
              <w:jc w:val="center"/>
              <w:rPr>
                <w:b/>
                <w:sz w:val="24"/>
                <w:szCs w:val="24"/>
                <w:lang w:eastAsia="en-US"/>
              </w:rPr>
            </w:pPr>
          </w:p>
        </w:tc>
      </w:tr>
      <w:tr w:rsidR="00384075" w:rsidRPr="00384075" w14:paraId="3E9C3A07" w14:textId="77777777" w:rsidTr="00D66EA6">
        <w:trPr>
          <w:jc w:val="center"/>
        </w:trPr>
        <w:tc>
          <w:tcPr>
            <w:tcW w:w="10335" w:type="dxa"/>
            <w:gridSpan w:val="7"/>
          </w:tcPr>
          <w:p w14:paraId="092D10F2" w14:textId="77777777" w:rsidR="00CD114E" w:rsidRPr="00384075" w:rsidRDefault="00CD114E" w:rsidP="0050365C">
            <w:pPr>
              <w:jc w:val="both"/>
              <w:rPr>
                <w:sz w:val="24"/>
                <w:szCs w:val="24"/>
                <w:lang w:eastAsia="en-US"/>
              </w:rPr>
            </w:pPr>
            <w:r w:rsidRPr="00384075">
              <w:rPr>
                <w:sz w:val="24"/>
                <w:szCs w:val="24"/>
                <w:lang w:eastAsia="en-US"/>
              </w:rPr>
              <w:t>5.1. Măsuri normative necesare pentru aplicarea prevederilor actului normativ:</w:t>
            </w:r>
          </w:p>
          <w:p w14:paraId="20EFBD6D" w14:textId="77777777" w:rsidR="00CD114E" w:rsidRPr="00384075" w:rsidRDefault="00CD114E" w:rsidP="0050365C">
            <w:pPr>
              <w:numPr>
                <w:ilvl w:val="0"/>
                <w:numId w:val="15"/>
              </w:numPr>
              <w:tabs>
                <w:tab w:val="left" w:pos="247"/>
              </w:tabs>
              <w:ind w:left="0" w:hanging="23"/>
              <w:contextualSpacing/>
              <w:jc w:val="both"/>
              <w:rPr>
                <w:rFonts w:eastAsia="Calibri"/>
                <w:sz w:val="24"/>
                <w:szCs w:val="24"/>
                <w:lang w:eastAsia="en-US"/>
              </w:rPr>
            </w:pPr>
            <w:r w:rsidRPr="00384075">
              <w:rPr>
                <w:rFonts w:eastAsia="Calibri"/>
                <w:sz w:val="24"/>
                <w:szCs w:val="24"/>
                <w:lang w:eastAsia="en-US"/>
              </w:rPr>
              <w:t>acte normative în vigoare ce vor fi modificate sau abrogate, ca urmare a intrării în vigoare a actului normativ;</w:t>
            </w:r>
          </w:p>
          <w:p w14:paraId="2842CA34" w14:textId="77777777" w:rsidR="00EA666E" w:rsidRPr="00384075" w:rsidRDefault="00EA666E" w:rsidP="0050365C">
            <w:pPr>
              <w:tabs>
                <w:tab w:val="left" w:pos="247"/>
              </w:tabs>
              <w:contextualSpacing/>
              <w:jc w:val="both"/>
              <w:rPr>
                <w:rFonts w:eastAsia="Calibri"/>
                <w:sz w:val="24"/>
                <w:szCs w:val="24"/>
                <w:lang w:eastAsia="en-US"/>
              </w:rPr>
            </w:pPr>
            <w:r w:rsidRPr="00384075">
              <w:rPr>
                <w:rFonts w:eastAsia="Calibri"/>
                <w:sz w:val="24"/>
                <w:szCs w:val="24"/>
                <w:lang w:eastAsia="en-US"/>
              </w:rPr>
              <w:t xml:space="preserve">Se </w:t>
            </w:r>
            <w:r w:rsidR="00040F0A" w:rsidRPr="00384075">
              <w:rPr>
                <w:rFonts w:eastAsia="Calibri"/>
                <w:sz w:val="24"/>
                <w:szCs w:val="24"/>
                <w:lang w:eastAsia="en-US"/>
              </w:rPr>
              <w:t xml:space="preserve">abrogă </w:t>
            </w:r>
            <w:r w:rsidRPr="00384075">
              <w:rPr>
                <w:rFonts w:eastAsia="Calibri"/>
                <w:sz w:val="24"/>
                <w:szCs w:val="24"/>
                <w:lang w:eastAsia="en-US"/>
              </w:rPr>
              <w:t>următoarele acte normative:</w:t>
            </w:r>
          </w:p>
          <w:p w14:paraId="2553EAEF" w14:textId="77777777" w:rsidR="00D67D91" w:rsidRPr="00384075" w:rsidRDefault="007C3486" w:rsidP="0050365C">
            <w:pPr>
              <w:spacing w:before="120" w:after="120"/>
              <w:jc w:val="both"/>
              <w:rPr>
                <w:rFonts w:eastAsia="MS Mincho"/>
                <w:sz w:val="24"/>
                <w:szCs w:val="24"/>
                <w:lang w:val="fr-FR"/>
              </w:rPr>
            </w:pPr>
            <w:r w:rsidRPr="00384075">
              <w:rPr>
                <w:rFonts w:eastAsia="Calibri"/>
                <w:sz w:val="24"/>
                <w:szCs w:val="24"/>
                <w:lang w:eastAsia="en-US"/>
              </w:rPr>
              <w:t>Ordonanţa de urgenţă nr. 50/2010 privind contractele de credit pentru consumatori, aprobată prin Legea nr. 288/2010</w:t>
            </w:r>
            <w:r w:rsidR="00D67D91" w:rsidRPr="00384075">
              <w:rPr>
                <w:sz w:val="24"/>
                <w:szCs w:val="24"/>
              </w:rPr>
              <w:t xml:space="preserve">, cu modificările și completările ulterioare, </w:t>
            </w:r>
            <w:proofErr w:type="spellStart"/>
            <w:r w:rsidR="00D67D91" w:rsidRPr="00384075">
              <w:rPr>
                <w:sz w:val="24"/>
                <w:szCs w:val="24"/>
                <w:lang w:val="en-US"/>
              </w:rPr>
              <w:t>publicată</w:t>
            </w:r>
            <w:proofErr w:type="spellEnd"/>
            <w:r w:rsidR="00D67D91" w:rsidRPr="00384075">
              <w:rPr>
                <w:sz w:val="24"/>
                <w:szCs w:val="24"/>
                <w:lang w:val="en-US"/>
              </w:rPr>
              <w:t xml:space="preserve"> </w:t>
            </w:r>
            <w:proofErr w:type="spellStart"/>
            <w:r w:rsidR="00D67D91" w:rsidRPr="00384075">
              <w:rPr>
                <w:sz w:val="24"/>
                <w:szCs w:val="24"/>
                <w:lang w:val="en-US"/>
              </w:rPr>
              <w:t>în</w:t>
            </w:r>
            <w:proofErr w:type="spellEnd"/>
            <w:r w:rsidR="00D67D91" w:rsidRPr="00384075">
              <w:rPr>
                <w:sz w:val="24"/>
                <w:szCs w:val="24"/>
                <w:lang w:val="en-US"/>
              </w:rPr>
              <w:t xml:space="preserve"> </w:t>
            </w:r>
            <w:proofErr w:type="spellStart"/>
            <w:r w:rsidR="00D67D91" w:rsidRPr="00384075">
              <w:rPr>
                <w:sz w:val="24"/>
                <w:szCs w:val="24"/>
                <w:lang w:val="en-US"/>
              </w:rPr>
              <w:t>Monitorul</w:t>
            </w:r>
            <w:proofErr w:type="spellEnd"/>
            <w:r w:rsidR="00D67D91" w:rsidRPr="00384075">
              <w:rPr>
                <w:sz w:val="24"/>
                <w:szCs w:val="24"/>
                <w:lang w:val="en-US"/>
              </w:rPr>
              <w:t xml:space="preserve"> </w:t>
            </w:r>
            <w:proofErr w:type="spellStart"/>
            <w:r w:rsidR="00D67D91" w:rsidRPr="00384075">
              <w:rPr>
                <w:sz w:val="24"/>
                <w:szCs w:val="24"/>
                <w:lang w:val="en-US"/>
              </w:rPr>
              <w:t>Oficial</w:t>
            </w:r>
            <w:proofErr w:type="spellEnd"/>
            <w:r w:rsidR="00D67D91" w:rsidRPr="00384075">
              <w:rPr>
                <w:sz w:val="24"/>
                <w:szCs w:val="24"/>
                <w:lang w:val="en-US"/>
              </w:rPr>
              <w:t xml:space="preserve">, </w:t>
            </w:r>
            <w:proofErr w:type="spellStart"/>
            <w:r w:rsidRPr="00384075">
              <w:rPr>
                <w:sz w:val="24"/>
                <w:szCs w:val="24"/>
                <w:lang w:val="en-US"/>
              </w:rPr>
              <w:t>Partea</w:t>
            </w:r>
            <w:proofErr w:type="spellEnd"/>
            <w:r w:rsidRPr="00384075">
              <w:rPr>
                <w:sz w:val="24"/>
                <w:szCs w:val="24"/>
                <w:lang w:val="en-US"/>
              </w:rPr>
              <w:t xml:space="preserve"> I nr. 389 din 11 </w:t>
            </w:r>
            <w:proofErr w:type="spellStart"/>
            <w:r w:rsidRPr="00384075">
              <w:rPr>
                <w:sz w:val="24"/>
                <w:szCs w:val="24"/>
                <w:lang w:val="en-US"/>
              </w:rPr>
              <w:t>iunie</w:t>
            </w:r>
            <w:proofErr w:type="spellEnd"/>
            <w:r w:rsidRPr="00384075">
              <w:rPr>
                <w:sz w:val="24"/>
                <w:szCs w:val="24"/>
                <w:lang w:val="en-US"/>
              </w:rPr>
              <w:t xml:space="preserve"> 2010</w:t>
            </w:r>
            <w:r w:rsidR="00D67D91" w:rsidRPr="00384075">
              <w:rPr>
                <w:sz w:val="24"/>
                <w:szCs w:val="24"/>
                <w:lang w:val="en-US"/>
              </w:rPr>
              <w:t>,</w:t>
            </w:r>
            <w:r w:rsidR="00D67D91" w:rsidRPr="00384075">
              <w:rPr>
                <w:rFonts w:eastAsia="MS Mincho"/>
                <w:sz w:val="24"/>
                <w:szCs w:val="24"/>
                <w:lang w:val="fr-FR"/>
              </w:rPr>
              <w:t xml:space="preserve"> se </w:t>
            </w:r>
            <w:proofErr w:type="spellStart"/>
            <w:r w:rsidR="00D67D91" w:rsidRPr="00384075">
              <w:rPr>
                <w:rFonts w:eastAsia="MS Mincho"/>
                <w:sz w:val="24"/>
                <w:szCs w:val="24"/>
                <w:lang w:val="fr-FR"/>
              </w:rPr>
              <w:t>abrogă</w:t>
            </w:r>
            <w:proofErr w:type="spellEnd"/>
            <w:r w:rsidR="00D67D91" w:rsidRPr="00384075">
              <w:rPr>
                <w:rFonts w:eastAsia="MS Mincho"/>
                <w:sz w:val="24"/>
                <w:szCs w:val="24"/>
                <w:lang w:val="fr-FR"/>
              </w:rPr>
              <w:t xml:space="preserve">. </w:t>
            </w:r>
          </w:p>
          <w:p w14:paraId="1F689596" w14:textId="77777777" w:rsidR="00040F0A" w:rsidRPr="00384075" w:rsidRDefault="00040F0A" w:rsidP="0050365C">
            <w:pPr>
              <w:jc w:val="both"/>
              <w:rPr>
                <w:sz w:val="24"/>
                <w:szCs w:val="24"/>
                <w:lang w:eastAsia="en-US"/>
              </w:rPr>
            </w:pPr>
            <w:r w:rsidRPr="00384075">
              <w:rPr>
                <w:sz w:val="24"/>
                <w:szCs w:val="24"/>
                <w:lang w:eastAsia="en-US"/>
              </w:rPr>
              <w:t xml:space="preserve">Cu toate acestea, Ordonanţa de urgenţă nr. 50/2010 continuă să se aplice contractelor de credit existente la </w:t>
            </w:r>
            <w:r w:rsidR="000F3693" w:rsidRPr="00384075">
              <w:rPr>
                <w:sz w:val="24"/>
                <w:szCs w:val="24"/>
                <w:lang w:eastAsia="en-US"/>
              </w:rPr>
              <w:t xml:space="preserve">data de </w:t>
            </w:r>
            <w:r w:rsidRPr="00384075">
              <w:rPr>
                <w:sz w:val="24"/>
                <w:szCs w:val="24"/>
                <w:lang w:eastAsia="en-US"/>
              </w:rPr>
              <w:t>20 noiembrie 2026</w:t>
            </w:r>
            <w:r w:rsidR="000F3693" w:rsidRPr="00384075">
              <w:rPr>
                <w:sz w:val="24"/>
                <w:szCs w:val="24"/>
                <w:lang w:eastAsia="en-US"/>
              </w:rPr>
              <w:t>,</w:t>
            </w:r>
            <w:r w:rsidRPr="00384075">
              <w:rPr>
                <w:sz w:val="24"/>
                <w:szCs w:val="24"/>
                <w:lang w:eastAsia="en-US"/>
              </w:rPr>
              <w:t xml:space="preserve"> până la încetarea acestora.</w:t>
            </w:r>
          </w:p>
          <w:p w14:paraId="0A3F6F44" w14:textId="77777777" w:rsidR="00CD114E" w:rsidRPr="00384075" w:rsidRDefault="00CD114E" w:rsidP="0050365C">
            <w:pPr>
              <w:spacing w:before="120" w:after="120"/>
              <w:rPr>
                <w:b/>
                <w:sz w:val="24"/>
                <w:szCs w:val="24"/>
                <w:lang w:eastAsia="en-US"/>
              </w:rPr>
            </w:pPr>
            <w:r w:rsidRPr="00384075">
              <w:rPr>
                <w:rFonts w:eastAsia="Calibri"/>
                <w:sz w:val="24"/>
                <w:szCs w:val="24"/>
                <w:lang w:eastAsia="en-US"/>
              </w:rPr>
              <w:t>b) acte normative ce urmează a fi elaborate în vederea implementării noilor dispoziții.</w:t>
            </w:r>
          </w:p>
        </w:tc>
      </w:tr>
      <w:tr w:rsidR="00384075" w:rsidRPr="00384075" w14:paraId="60B0D546" w14:textId="77777777" w:rsidTr="00D66EA6">
        <w:trPr>
          <w:jc w:val="center"/>
        </w:trPr>
        <w:tc>
          <w:tcPr>
            <w:tcW w:w="10335" w:type="dxa"/>
            <w:gridSpan w:val="7"/>
          </w:tcPr>
          <w:p w14:paraId="0A6AEC79" w14:textId="77777777" w:rsidR="00CD114E" w:rsidRPr="00384075" w:rsidRDefault="00CD114E" w:rsidP="0050365C">
            <w:pPr>
              <w:jc w:val="both"/>
              <w:rPr>
                <w:sz w:val="24"/>
                <w:szCs w:val="24"/>
              </w:rPr>
            </w:pPr>
            <w:r w:rsidRPr="00384075">
              <w:rPr>
                <w:sz w:val="24"/>
                <w:szCs w:val="24"/>
              </w:rPr>
              <w:t>5.2. Impactul asupra legislației în domeniul achizițiilor publice</w:t>
            </w:r>
          </w:p>
          <w:p w14:paraId="42FE8DD6" w14:textId="77777777" w:rsidR="00CD114E" w:rsidRPr="00384075" w:rsidRDefault="00CD114E" w:rsidP="0050365C">
            <w:pPr>
              <w:jc w:val="both"/>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p w14:paraId="3A942734" w14:textId="77777777" w:rsidR="00970FC4" w:rsidRPr="00384075" w:rsidRDefault="00970FC4" w:rsidP="0050365C">
            <w:pPr>
              <w:jc w:val="both"/>
              <w:rPr>
                <w:sz w:val="24"/>
                <w:szCs w:val="24"/>
                <w:lang w:eastAsia="en-US"/>
              </w:rPr>
            </w:pPr>
          </w:p>
        </w:tc>
      </w:tr>
      <w:tr w:rsidR="00384075" w:rsidRPr="00384075" w14:paraId="4B1B9155" w14:textId="77777777" w:rsidTr="00D66EA6">
        <w:trPr>
          <w:jc w:val="center"/>
        </w:trPr>
        <w:tc>
          <w:tcPr>
            <w:tcW w:w="10335" w:type="dxa"/>
            <w:gridSpan w:val="7"/>
          </w:tcPr>
          <w:p w14:paraId="7AF2C108" w14:textId="77777777" w:rsidR="00CD114E" w:rsidRPr="00384075" w:rsidRDefault="00CD114E" w:rsidP="0050365C">
            <w:pPr>
              <w:jc w:val="both"/>
              <w:rPr>
                <w:sz w:val="24"/>
                <w:szCs w:val="24"/>
                <w:lang w:eastAsia="en-US"/>
              </w:rPr>
            </w:pPr>
            <w:r w:rsidRPr="00384075">
              <w:rPr>
                <w:sz w:val="24"/>
                <w:szCs w:val="24"/>
                <w:lang w:eastAsia="en-US"/>
              </w:rPr>
              <w:t>5.3. Conformitatea  actului normativ cu legislația UE (în cazul proiectelor ce transpun  sau asigură aplicarea unor prevederi de drept UE)</w:t>
            </w:r>
            <w:r w:rsidR="000F3693" w:rsidRPr="00384075">
              <w:rPr>
                <w:sz w:val="24"/>
                <w:szCs w:val="24"/>
                <w:lang w:eastAsia="en-US"/>
              </w:rPr>
              <w:t>.</w:t>
            </w:r>
            <w:r w:rsidRPr="00384075">
              <w:rPr>
                <w:sz w:val="24"/>
                <w:szCs w:val="24"/>
                <w:lang w:eastAsia="en-US"/>
              </w:rPr>
              <w:t xml:space="preserve"> </w:t>
            </w:r>
          </w:p>
          <w:p w14:paraId="4DE4519B" w14:textId="1032C55E" w:rsidR="00EA666E" w:rsidRPr="00384075" w:rsidRDefault="00554D03" w:rsidP="0050365C">
            <w:pPr>
              <w:jc w:val="both"/>
              <w:rPr>
                <w:bCs/>
                <w:iCs/>
                <w:noProof/>
                <w:sz w:val="24"/>
                <w:szCs w:val="24"/>
              </w:rPr>
            </w:pPr>
            <w:r w:rsidRPr="00384075">
              <w:rPr>
                <w:sz w:val="24"/>
                <w:szCs w:val="24"/>
              </w:rPr>
              <w:t xml:space="preserve">Proiectul de act normativ stabilește măsurile pentru </w:t>
            </w:r>
            <w:r w:rsidR="00F07709" w:rsidRPr="00384075">
              <w:rPr>
                <w:sz w:val="24"/>
                <w:szCs w:val="24"/>
              </w:rPr>
              <w:t xml:space="preserve">transpunerea </w:t>
            </w:r>
            <w:r w:rsidR="007C3486" w:rsidRPr="00384075">
              <w:rPr>
                <w:bCs/>
                <w:iCs/>
                <w:noProof/>
                <w:sz w:val="24"/>
                <w:szCs w:val="24"/>
              </w:rPr>
              <w:t>Directiv</w:t>
            </w:r>
            <w:r w:rsidR="000F3693" w:rsidRPr="00384075">
              <w:rPr>
                <w:bCs/>
                <w:iCs/>
                <w:noProof/>
                <w:sz w:val="24"/>
                <w:szCs w:val="24"/>
              </w:rPr>
              <w:t>ei</w:t>
            </w:r>
            <w:r w:rsidR="007C3486" w:rsidRPr="00384075">
              <w:rPr>
                <w:bCs/>
                <w:iCs/>
                <w:noProof/>
                <w:sz w:val="24"/>
                <w:szCs w:val="24"/>
              </w:rPr>
              <w:t xml:space="preserve"> (UE) 2023/2225 a Parlamentului European și a Consiliului din 18 octombrie 2023 privind contractele de credit de consum și de abrogare a Directivei 2008/48/CE, publicată în JO L, 2023/2225, 30.10.2023</w:t>
            </w:r>
            <w:r w:rsidR="00203007" w:rsidRPr="00384075">
              <w:rPr>
                <w:bCs/>
                <w:iCs/>
                <w:noProof/>
                <w:sz w:val="24"/>
                <w:szCs w:val="24"/>
              </w:rPr>
              <w:t>.</w:t>
            </w:r>
          </w:p>
        </w:tc>
      </w:tr>
      <w:tr w:rsidR="00384075" w:rsidRPr="00384075" w14:paraId="6237A04B" w14:textId="77777777" w:rsidTr="00D66EA6">
        <w:trPr>
          <w:jc w:val="center"/>
        </w:trPr>
        <w:tc>
          <w:tcPr>
            <w:tcW w:w="10335" w:type="dxa"/>
            <w:gridSpan w:val="7"/>
          </w:tcPr>
          <w:p w14:paraId="7BA3448A" w14:textId="0FB74EC1" w:rsidR="00CD114E" w:rsidRPr="00384075" w:rsidRDefault="00CD114E" w:rsidP="0050365C">
            <w:pPr>
              <w:jc w:val="both"/>
              <w:rPr>
                <w:sz w:val="24"/>
                <w:szCs w:val="24"/>
                <w:lang w:eastAsia="en-US"/>
              </w:rPr>
            </w:pPr>
            <w:r w:rsidRPr="00384075">
              <w:rPr>
                <w:sz w:val="24"/>
                <w:szCs w:val="24"/>
                <w:lang w:eastAsia="en-US"/>
              </w:rPr>
              <w:t>5.3.1. Măsuri normative necesare transpunerii direct</w:t>
            </w:r>
            <w:r w:rsidR="002108AA" w:rsidRPr="00384075">
              <w:rPr>
                <w:sz w:val="24"/>
                <w:szCs w:val="24"/>
                <w:lang w:eastAsia="en-US"/>
              </w:rPr>
              <w:t>i</w:t>
            </w:r>
            <w:r w:rsidRPr="00384075">
              <w:rPr>
                <w:sz w:val="24"/>
                <w:szCs w:val="24"/>
                <w:lang w:eastAsia="en-US"/>
              </w:rPr>
              <w:t>velor UE</w:t>
            </w:r>
          </w:p>
          <w:p w14:paraId="41895A18" w14:textId="77777777" w:rsidR="00CD114E" w:rsidRPr="00384075" w:rsidRDefault="00CD114E" w:rsidP="0050365C">
            <w:pPr>
              <w:jc w:val="both"/>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p w14:paraId="4D521D37" w14:textId="77777777" w:rsidR="00970FC4" w:rsidRPr="00384075" w:rsidRDefault="00970FC4" w:rsidP="0050365C">
            <w:pPr>
              <w:jc w:val="both"/>
              <w:rPr>
                <w:sz w:val="24"/>
                <w:szCs w:val="24"/>
                <w:lang w:eastAsia="en-US"/>
              </w:rPr>
            </w:pPr>
          </w:p>
        </w:tc>
      </w:tr>
      <w:tr w:rsidR="00384075" w:rsidRPr="00384075" w14:paraId="04E73E49" w14:textId="77777777" w:rsidTr="00D66EA6">
        <w:trPr>
          <w:jc w:val="center"/>
        </w:trPr>
        <w:tc>
          <w:tcPr>
            <w:tcW w:w="10335" w:type="dxa"/>
            <w:gridSpan w:val="7"/>
          </w:tcPr>
          <w:p w14:paraId="0B0D4ADF" w14:textId="77777777" w:rsidR="00CD114E" w:rsidRPr="00384075" w:rsidRDefault="00CD114E" w:rsidP="0050365C">
            <w:pPr>
              <w:jc w:val="both"/>
              <w:rPr>
                <w:sz w:val="24"/>
                <w:szCs w:val="24"/>
                <w:lang w:eastAsia="en-US"/>
              </w:rPr>
            </w:pPr>
            <w:r w:rsidRPr="00384075">
              <w:rPr>
                <w:sz w:val="24"/>
                <w:szCs w:val="24"/>
                <w:lang w:eastAsia="en-US"/>
              </w:rPr>
              <w:t>5.3.2. Măsuri normative necesare aplicării actelor legislative UE</w:t>
            </w:r>
          </w:p>
          <w:p w14:paraId="17FDF686" w14:textId="77777777" w:rsidR="00554D03" w:rsidRPr="00384075" w:rsidRDefault="00EA666E" w:rsidP="0050365C">
            <w:pPr>
              <w:jc w:val="both"/>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tc>
      </w:tr>
      <w:tr w:rsidR="00384075" w:rsidRPr="00384075" w14:paraId="7D751BAB" w14:textId="77777777" w:rsidTr="00D66EA6">
        <w:trPr>
          <w:jc w:val="center"/>
        </w:trPr>
        <w:tc>
          <w:tcPr>
            <w:tcW w:w="10335" w:type="dxa"/>
            <w:gridSpan w:val="7"/>
          </w:tcPr>
          <w:p w14:paraId="364D3490" w14:textId="77777777" w:rsidR="00CD114E" w:rsidRPr="00384075" w:rsidRDefault="00CD114E" w:rsidP="0050365C">
            <w:pPr>
              <w:jc w:val="both"/>
              <w:rPr>
                <w:sz w:val="24"/>
                <w:szCs w:val="24"/>
                <w:lang w:eastAsia="en-US"/>
              </w:rPr>
            </w:pPr>
            <w:r w:rsidRPr="00384075">
              <w:rPr>
                <w:sz w:val="24"/>
                <w:szCs w:val="24"/>
                <w:lang w:eastAsia="en-US"/>
              </w:rPr>
              <w:lastRenderedPageBreak/>
              <w:t>5.4. Hotărâri ale Curții de Justiție a Uniunii Europene</w:t>
            </w:r>
          </w:p>
          <w:p w14:paraId="4AE63B13" w14:textId="77777777" w:rsidR="00CD114E" w:rsidRPr="00384075" w:rsidRDefault="00CD114E" w:rsidP="0050365C">
            <w:pPr>
              <w:jc w:val="both"/>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tc>
      </w:tr>
      <w:tr w:rsidR="00384075" w:rsidRPr="00384075" w14:paraId="784AD3C1" w14:textId="77777777" w:rsidTr="00D66EA6">
        <w:trPr>
          <w:jc w:val="center"/>
        </w:trPr>
        <w:tc>
          <w:tcPr>
            <w:tcW w:w="10335" w:type="dxa"/>
            <w:gridSpan w:val="7"/>
          </w:tcPr>
          <w:p w14:paraId="10B3722D" w14:textId="77777777" w:rsidR="00CD114E" w:rsidRPr="00384075" w:rsidRDefault="00CD114E" w:rsidP="0050365C">
            <w:pPr>
              <w:jc w:val="both"/>
              <w:rPr>
                <w:sz w:val="24"/>
                <w:szCs w:val="24"/>
                <w:lang w:eastAsia="en-US"/>
              </w:rPr>
            </w:pPr>
            <w:r w:rsidRPr="00384075">
              <w:rPr>
                <w:sz w:val="24"/>
                <w:szCs w:val="24"/>
                <w:lang w:eastAsia="en-US"/>
              </w:rPr>
              <w:t>5.5. Alte acte normative și/sau documente internaționale din care decurg angajamente asumate</w:t>
            </w:r>
          </w:p>
          <w:p w14:paraId="4F2FCFFC" w14:textId="77777777" w:rsidR="00CD114E" w:rsidRPr="00384075" w:rsidRDefault="00CD114E" w:rsidP="0050365C">
            <w:pPr>
              <w:jc w:val="both"/>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tc>
      </w:tr>
      <w:tr w:rsidR="00384075" w:rsidRPr="00384075" w14:paraId="1C769E88" w14:textId="77777777" w:rsidTr="00D66EA6">
        <w:trPr>
          <w:jc w:val="center"/>
        </w:trPr>
        <w:tc>
          <w:tcPr>
            <w:tcW w:w="10335" w:type="dxa"/>
            <w:gridSpan w:val="7"/>
          </w:tcPr>
          <w:p w14:paraId="69AA91D1" w14:textId="77777777" w:rsidR="00CD114E" w:rsidRPr="00384075" w:rsidRDefault="00CD114E" w:rsidP="0050365C">
            <w:pPr>
              <w:jc w:val="both"/>
              <w:rPr>
                <w:sz w:val="24"/>
                <w:szCs w:val="24"/>
                <w:lang w:eastAsia="en-US"/>
              </w:rPr>
            </w:pPr>
            <w:r w:rsidRPr="00384075">
              <w:rPr>
                <w:sz w:val="24"/>
                <w:szCs w:val="24"/>
                <w:lang w:eastAsia="en-US"/>
              </w:rPr>
              <w:t>5.6. Alte informații</w:t>
            </w:r>
          </w:p>
          <w:p w14:paraId="4FA8DEC2" w14:textId="77777777" w:rsidR="00CD114E" w:rsidRPr="00384075" w:rsidRDefault="00554D03" w:rsidP="0050365C">
            <w:pPr>
              <w:jc w:val="both"/>
              <w:rPr>
                <w:sz w:val="24"/>
                <w:szCs w:val="24"/>
                <w:lang w:eastAsia="en-US"/>
              </w:rPr>
            </w:pPr>
            <w:r w:rsidRPr="00384075">
              <w:rPr>
                <w:sz w:val="24"/>
                <w:szCs w:val="24"/>
              </w:rPr>
              <w:t>Nu au fost identificate</w:t>
            </w:r>
            <w:r w:rsidR="00C70FA3" w:rsidRPr="00384075">
              <w:rPr>
                <w:sz w:val="24"/>
                <w:szCs w:val="24"/>
              </w:rPr>
              <w:t>.</w:t>
            </w:r>
          </w:p>
        </w:tc>
      </w:tr>
      <w:tr w:rsidR="00384075" w:rsidRPr="00384075" w14:paraId="0527703D" w14:textId="77777777" w:rsidTr="00D66EA6">
        <w:trPr>
          <w:jc w:val="center"/>
        </w:trPr>
        <w:tc>
          <w:tcPr>
            <w:tcW w:w="10335" w:type="dxa"/>
            <w:gridSpan w:val="7"/>
          </w:tcPr>
          <w:p w14:paraId="0DAC8A05" w14:textId="77777777" w:rsidR="00A62022" w:rsidRPr="00384075" w:rsidRDefault="00A62022" w:rsidP="0050365C">
            <w:pPr>
              <w:spacing w:before="120" w:after="120"/>
              <w:jc w:val="center"/>
              <w:rPr>
                <w:b/>
                <w:sz w:val="24"/>
                <w:szCs w:val="24"/>
                <w:lang w:eastAsia="en-US"/>
              </w:rPr>
            </w:pPr>
            <w:r w:rsidRPr="00384075">
              <w:rPr>
                <w:b/>
                <w:sz w:val="24"/>
                <w:szCs w:val="24"/>
                <w:lang w:eastAsia="en-US"/>
              </w:rPr>
              <w:t xml:space="preserve">Secțiunea a 6-a </w:t>
            </w:r>
          </w:p>
          <w:p w14:paraId="2F37A7A7" w14:textId="77777777" w:rsidR="00A62022" w:rsidRPr="00384075" w:rsidRDefault="00A62022" w:rsidP="0050365C">
            <w:pPr>
              <w:spacing w:before="120" w:after="120"/>
              <w:jc w:val="center"/>
              <w:rPr>
                <w:b/>
                <w:sz w:val="24"/>
                <w:szCs w:val="24"/>
                <w:lang w:eastAsia="en-US"/>
              </w:rPr>
            </w:pPr>
            <w:r w:rsidRPr="00384075">
              <w:rPr>
                <w:b/>
                <w:sz w:val="24"/>
                <w:szCs w:val="24"/>
                <w:lang w:eastAsia="en-US"/>
              </w:rPr>
              <w:t>Consultările efectuate în vederea elaborării actului normativ</w:t>
            </w:r>
          </w:p>
        </w:tc>
      </w:tr>
      <w:tr w:rsidR="00384075" w:rsidRPr="00384075" w14:paraId="38947B55" w14:textId="77777777" w:rsidTr="00D66EA6">
        <w:trPr>
          <w:jc w:val="center"/>
        </w:trPr>
        <w:tc>
          <w:tcPr>
            <w:tcW w:w="10335" w:type="dxa"/>
            <w:gridSpan w:val="7"/>
          </w:tcPr>
          <w:p w14:paraId="55097AF9" w14:textId="77777777" w:rsidR="003F4E20" w:rsidRPr="00384075" w:rsidRDefault="003F4E20" w:rsidP="0050365C">
            <w:pPr>
              <w:spacing w:before="120"/>
              <w:rPr>
                <w:sz w:val="24"/>
                <w:szCs w:val="24"/>
                <w:lang w:eastAsia="en-US"/>
              </w:rPr>
            </w:pPr>
            <w:r w:rsidRPr="00384075">
              <w:rPr>
                <w:sz w:val="24"/>
                <w:szCs w:val="24"/>
                <w:lang w:eastAsia="en-US"/>
              </w:rPr>
              <w:t>6.1. Informații privind neaplicarea procedurii de participare la elaborarea actelor normative</w:t>
            </w:r>
          </w:p>
          <w:p w14:paraId="67BF7FBE" w14:textId="77777777" w:rsidR="003F4E20" w:rsidRPr="00384075" w:rsidRDefault="003F4E20" w:rsidP="0050365C">
            <w:pPr>
              <w:spacing w:before="120"/>
              <w:rPr>
                <w:b/>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tc>
      </w:tr>
      <w:tr w:rsidR="00384075" w:rsidRPr="00384075" w14:paraId="5F120FB8" w14:textId="77777777" w:rsidTr="00D66EA6">
        <w:trPr>
          <w:jc w:val="center"/>
        </w:trPr>
        <w:tc>
          <w:tcPr>
            <w:tcW w:w="10335" w:type="dxa"/>
            <w:gridSpan w:val="7"/>
          </w:tcPr>
          <w:p w14:paraId="334C4784" w14:textId="77777777" w:rsidR="003F4E20" w:rsidRPr="00384075" w:rsidRDefault="003F4E20" w:rsidP="0050365C">
            <w:pPr>
              <w:spacing w:before="120"/>
              <w:rPr>
                <w:sz w:val="24"/>
                <w:szCs w:val="24"/>
                <w:lang w:eastAsia="en-US"/>
              </w:rPr>
            </w:pPr>
            <w:r w:rsidRPr="00384075">
              <w:rPr>
                <w:sz w:val="24"/>
                <w:szCs w:val="24"/>
                <w:lang w:eastAsia="en-US"/>
              </w:rPr>
              <w:t>6.2. Informații privind procesul de consultare cu organizații neguvernamentale, institute de cercetare și alte organisme implicate</w:t>
            </w:r>
          </w:p>
          <w:p w14:paraId="1060726A" w14:textId="77777777" w:rsidR="003F4E20" w:rsidRPr="00384075" w:rsidRDefault="003F4E20" w:rsidP="0050365C">
            <w:pPr>
              <w:spacing w:before="120"/>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tc>
      </w:tr>
      <w:tr w:rsidR="00384075" w:rsidRPr="00384075" w14:paraId="42D1E61A" w14:textId="77777777" w:rsidTr="00D66EA6">
        <w:trPr>
          <w:jc w:val="center"/>
        </w:trPr>
        <w:tc>
          <w:tcPr>
            <w:tcW w:w="10335" w:type="dxa"/>
            <w:gridSpan w:val="7"/>
          </w:tcPr>
          <w:p w14:paraId="52F1DD0F" w14:textId="77777777" w:rsidR="003F4E20" w:rsidRPr="00384075" w:rsidRDefault="003F4E20" w:rsidP="0050365C">
            <w:pPr>
              <w:spacing w:before="120"/>
              <w:rPr>
                <w:sz w:val="24"/>
                <w:szCs w:val="24"/>
                <w:lang w:eastAsia="en-US"/>
              </w:rPr>
            </w:pPr>
            <w:r w:rsidRPr="00384075">
              <w:rPr>
                <w:sz w:val="24"/>
                <w:szCs w:val="24"/>
                <w:lang w:eastAsia="en-US"/>
              </w:rPr>
              <w:t>6.3. Informații despre consultările organizate cu autoritățile administrației publice  locale</w:t>
            </w:r>
          </w:p>
          <w:p w14:paraId="23BA72C6" w14:textId="77777777" w:rsidR="003F4E20" w:rsidRPr="00384075" w:rsidRDefault="003F4E20" w:rsidP="0050365C">
            <w:pPr>
              <w:spacing w:before="120"/>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tc>
      </w:tr>
      <w:tr w:rsidR="00384075" w:rsidRPr="00384075" w14:paraId="5983684A" w14:textId="77777777" w:rsidTr="00D66EA6">
        <w:trPr>
          <w:jc w:val="center"/>
        </w:trPr>
        <w:tc>
          <w:tcPr>
            <w:tcW w:w="10335" w:type="dxa"/>
            <w:gridSpan w:val="7"/>
          </w:tcPr>
          <w:p w14:paraId="09755AED" w14:textId="77777777" w:rsidR="003F4E20" w:rsidRPr="00384075" w:rsidRDefault="003F4E20" w:rsidP="0050365C">
            <w:pPr>
              <w:rPr>
                <w:sz w:val="24"/>
                <w:szCs w:val="24"/>
                <w:lang w:eastAsia="en-US"/>
              </w:rPr>
            </w:pPr>
            <w:r w:rsidRPr="00384075">
              <w:rPr>
                <w:sz w:val="24"/>
                <w:szCs w:val="24"/>
                <w:lang w:eastAsia="en-US"/>
              </w:rPr>
              <w:t>6.4. Informații privind punctele de vedere/opinii emise de organisme consultative constituite prin acte normative</w:t>
            </w:r>
          </w:p>
          <w:p w14:paraId="762DE3A7" w14:textId="77777777" w:rsidR="003F4E20" w:rsidRPr="00384075" w:rsidRDefault="003F4E20" w:rsidP="0050365C">
            <w:pPr>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tc>
      </w:tr>
      <w:tr w:rsidR="00384075" w:rsidRPr="00384075" w14:paraId="138C4303" w14:textId="77777777" w:rsidTr="00D66EA6">
        <w:trPr>
          <w:jc w:val="center"/>
        </w:trPr>
        <w:tc>
          <w:tcPr>
            <w:tcW w:w="4915" w:type="dxa"/>
          </w:tcPr>
          <w:p w14:paraId="2144CB02" w14:textId="77777777" w:rsidR="00A62EA6" w:rsidRPr="00384075" w:rsidRDefault="00A62EA6" w:rsidP="0050365C">
            <w:pPr>
              <w:spacing w:before="120"/>
              <w:jc w:val="both"/>
              <w:rPr>
                <w:sz w:val="24"/>
                <w:szCs w:val="24"/>
                <w:lang w:eastAsia="en-US"/>
              </w:rPr>
            </w:pPr>
            <w:r w:rsidRPr="00384075">
              <w:rPr>
                <w:sz w:val="24"/>
                <w:szCs w:val="24"/>
                <w:lang w:eastAsia="en-US"/>
              </w:rPr>
              <w:t>6.5. Informații privind avizarea de către:</w:t>
            </w:r>
          </w:p>
          <w:p w14:paraId="672CC352" w14:textId="77777777" w:rsidR="00A62EA6" w:rsidRPr="00384075" w:rsidRDefault="00A62EA6" w:rsidP="0050365C">
            <w:pPr>
              <w:numPr>
                <w:ilvl w:val="0"/>
                <w:numId w:val="19"/>
              </w:numPr>
              <w:ind w:left="357" w:hanging="357"/>
              <w:contextualSpacing/>
              <w:jc w:val="both"/>
              <w:rPr>
                <w:rFonts w:eastAsia="Calibri"/>
                <w:sz w:val="24"/>
                <w:szCs w:val="24"/>
                <w:lang w:eastAsia="en-US"/>
              </w:rPr>
            </w:pPr>
            <w:r w:rsidRPr="00384075">
              <w:rPr>
                <w:rFonts w:eastAsia="Calibri"/>
                <w:sz w:val="24"/>
                <w:szCs w:val="24"/>
                <w:lang w:eastAsia="en-US"/>
              </w:rPr>
              <w:t>Consiliul Legislativ</w:t>
            </w:r>
          </w:p>
          <w:p w14:paraId="3B4E1873" w14:textId="77777777" w:rsidR="00A62EA6" w:rsidRPr="00384075" w:rsidRDefault="00A62EA6" w:rsidP="0050365C">
            <w:pPr>
              <w:numPr>
                <w:ilvl w:val="0"/>
                <w:numId w:val="19"/>
              </w:numPr>
              <w:ind w:left="357" w:hanging="357"/>
              <w:contextualSpacing/>
              <w:jc w:val="both"/>
              <w:rPr>
                <w:rFonts w:eastAsia="Calibri"/>
                <w:sz w:val="24"/>
                <w:szCs w:val="24"/>
                <w:lang w:eastAsia="en-US"/>
              </w:rPr>
            </w:pPr>
            <w:r w:rsidRPr="00384075">
              <w:rPr>
                <w:rFonts w:eastAsia="Calibri"/>
                <w:sz w:val="24"/>
                <w:szCs w:val="24"/>
                <w:lang w:eastAsia="en-US"/>
              </w:rPr>
              <w:t xml:space="preserve">Consiliul Suprem de Apărare a Țării </w:t>
            </w:r>
          </w:p>
          <w:p w14:paraId="3E0CD0B0" w14:textId="77777777" w:rsidR="00A62EA6" w:rsidRPr="00384075" w:rsidRDefault="00A62EA6" w:rsidP="0050365C">
            <w:pPr>
              <w:numPr>
                <w:ilvl w:val="0"/>
                <w:numId w:val="19"/>
              </w:numPr>
              <w:ind w:left="357" w:hanging="357"/>
              <w:contextualSpacing/>
              <w:jc w:val="both"/>
              <w:rPr>
                <w:rFonts w:eastAsia="Calibri"/>
                <w:sz w:val="24"/>
                <w:szCs w:val="24"/>
                <w:lang w:eastAsia="en-US"/>
              </w:rPr>
            </w:pPr>
            <w:r w:rsidRPr="00384075">
              <w:rPr>
                <w:rFonts w:eastAsia="Calibri"/>
                <w:sz w:val="24"/>
                <w:szCs w:val="24"/>
                <w:lang w:eastAsia="en-US"/>
              </w:rPr>
              <w:t xml:space="preserve">Consiliul Economic și Social </w:t>
            </w:r>
          </w:p>
          <w:p w14:paraId="0CAED2C5" w14:textId="77777777" w:rsidR="00A62EA6" w:rsidRPr="00384075" w:rsidRDefault="00A62EA6" w:rsidP="0050365C">
            <w:pPr>
              <w:numPr>
                <w:ilvl w:val="0"/>
                <w:numId w:val="19"/>
              </w:numPr>
              <w:ind w:left="357" w:hanging="357"/>
              <w:contextualSpacing/>
              <w:jc w:val="both"/>
              <w:rPr>
                <w:sz w:val="24"/>
                <w:szCs w:val="24"/>
                <w:lang w:eastAsia="en-US"/>
              </w:rPr>
            </w:pPr>
            <w:r w:rsidRPr="00384075">
              <w:rPr>
                <w:rFonts w:eastAsia="Calibri"/>
                <w:sz w:val="24"/>
                <w:szCs w:val="24"/>
                <w:lang w:eastAsia="en-US"/>
              </w:rPr>
              <w:t>Consiliul Concurenței</w:t>
            </w:r>
          </w:p>
          <w:p w14:paraId="29D89973" w14:textId="77777777" w:rsidR="00A62EA6" w:rsidRPr="00384075" w:rsidRDefault="00A62EA6" w:rsidP="0050365C">
            <w:pPr>
              <w:numPr>
                <w:ilvl w:val="0"/>
                <w:numId w:val="19"/>
              </w:numPr>
              <w:ind w:left="357" w:hanging="357"/>
              <w:contextualSpacing/>
              <w:jc w:val="both"/>
              <w:rPr>
                <w:sz w:val="24"/>
                <w:szCs w:val="24"/>
                <w:lang w:eastAsia="en-US"/>
              </w:rPr>
            </w:pPr>
            <w:r w:rsidRPr="00384075">
              <w:rPr>
                <w:rFonts w:eastAsia="Calibri"/>
                <w:sz w:val="24"/>
                <w:szCs w:val="24"/>
                <w:lang w:eastAsia="en-US"/>
              </w:rPr>
              <w:t>Curtea de Conturi</w:t>
            </w:r>
          </w:p>
          <w:p w14:paraId="758387FF" w14:textId="77777777" w:rsidR="00A62EA6" w:rsidRPr="00384075" w:rsidRDefault="00A62EA6" w:rsidP="0050365C">
            <w:pPr>
              <w:contextualSpacing/>
              <w:jc w:val="both"/>
              <w:rPr>
                <w:sz w:val="24"/>
                <w:szCs w:val="24"/>
                <w:lang w:eastAsia="en-US"/>
              </w:rPr>
            </w:pPr>
          </w:p>
        </w:tc>
        <w:tc>
          <w:tcPr>
            <w:tcW w:w="5420" w:type="dxa"/>
            <w:gridSpan w:val="6"/>
          </w:tcPr>
          <w:p w14:paraId="52053CD1" w14:textId="77777777" w:rsidR="00A62EA6" w:rsidRPr="00384075" w:rsidRDefault="00A62EA6" w:rsidP="0050365C">
            <w:pPr>
              <w:autoSpaceDE w:val="0"/>
              <w:autoSpaceDN w:val="0"/>
              <w:adjustRightInd w:val="0"/>
              <w:rPr>
                <w:sz w:val="24"/>
                <w:szCs w:val="24"/>
              </w:rPr>
            </w:pPr>
          </w:p>
          <w:p w14:paraId="2DFB0F72" w14:textId="77777777" w:rsidR="00A62EA6" w:rsidRPr="00384075" w:rsidRDefault="00A62EA6" w:rsidP="0050365C">
            <w:pPr>
              <w:tabs>
                <w:tab w:val="left" w:pos="945"/>
              </w:tabs>
              <w:spacing w:before="120" w:after="60"/>
              <w:rPr>
                <w:sz w:val="24"/>
                <w:szCs w:val="24"/>
                <w:lang w:eastAsia="en-US"/>
              </w:rPr>
            </w:pPr>
            <w:r w:rsidRPr="00384075">
              <w:rPr>
                <w:sz w:val="24"/>
                <w:szCs w:val="24"/>
              </w:rPr>
              <w:t xml:space="preserve">Este necesar avizul Consiliului Legislativ </w:t>
            </w:r>
          </w:p>
        </w:tc>
      </w:tr>
      <w:tr w:rsidR="00384075" w:rsidRPr="00384075" w14:paraId="0CF24A52" w14:textId="77777777" w:rsidTr="00D66EA6">
        <w:trPr>
          <w:jc w:val="center"/>
        </w:trPr>
        <w:tc>
          <w:tcPr>
            <w:tcW w:w="10335" w:type="dxa"/>
            <w:gridSpan w:val="7"/>
          </w:tcPr>
          <w:p w14:paraId="06F37F38" w14:textId="77777777" w:rsidR="00A62EA6" w:rsidRPr="00384075" w:rsidRDefault="00A62EA6" w:rsidP="0050365C">
            <w:pPr>
              <w:rPr>
                <w:sz w:val="24"/>
                <w:szCs w:val="24"/>
                <w:lang w:eastAsia="en-US"/>
              </w:rPr>
            </w:pPr>
            <w:r w:rsidRPr="00384075">
              <w:rPr>
                <w:sz w:val="24"/>
                <w:szCs w:val="24"/>
                <w:lang w:eastAsia="en-US"/>
              </w:rPr>
              <w:t>6.6. Alte informații</w:t>
            </w:r>
          </w:p>
          <w:p w14:paraId="46643281" w14:textId="77777777" w:rsidR="00A62EA6" w:rsidRPr="00384075" w:rsidRDefault="00A62EA6" w:rsidP="0050365C">
            <w:pPr>
              <w:rPr>
                <w:b/>
                <w:sz w:val="24"/>
                <w:szCs w:val="24"/>
                <w:lang w:eastAsia="en-US"/>
              </w:rPr>
            </w:pPr>
            <w:r w:rsidRPr="00384075">
              <w:rPr>
                <w:sz w:val="24"/>
                <w:szCs w:val="24"/>
              </w:rPr>
              <w:t>Nu au fost identificate</w:t>
            </w:r>
            <w:r w:rsidR="00C70FA3" w:rsidRPr="00384075">
              <w:rPr>
                <w:sz w:val="24"/>
                <w:szCs w:val="24"/>
              </w:rPr>
              <w:t>.</w:t>
            </w:r>
          </w:p>
        </w:tc>
      </w:tr>
      <w:tr w:rsidR="00384075" w:rsidRPr="00384075" w14:paraId="048215B0" w14:textId="77777777" w:rsidTr="00D66EA6">
        <w:trPr>
          <w:jc w:val="center"/>
        </w:trPr>
        <w:tc>
          <w:tcPr>
            <w:tcW w:w="10335" w:type="dxa"/>
            <w:gridSpan w:val="7"/>
          </w:tcPr>
          <w:p w14:paraId="4619DBE5" w14:textId="77777777" w:rsidR="0050365C" w:rsidRPr="00384075" w:rsidRDefault="0050365C" w:rsidP="0050365C">
            <w:pPr>
              <w:jc w:val="center"/>
              <w:rPr>
                <w:b/>
                <w:sz w:val="24"/>
                <w:szCs w:val="24"/>
                <w:lang w:eastAsia="en-US"/>
              </w:rPr>
            </w:pPr>
          </w:p>
          <w:p w14:paraId="6915AB31" w14:textId="77777777" w:rsidR="00A62EA6" w:rsidRPr="00384075" w:rsidRDefault="00A62EA6" w:rsidP="0050365C">
            <w:pPr>
              <w:jc w:val="center"/>
              <w:rPr>
                <w:b/>
                <w:sz w:val="24"/>
                <w:szCs w:val="24"/>
                <w:lang w:eastAsia="en-US"/>
              </w:rPr>
            </w:pPr>
            <w:r w:rsidRPr="00384075">
              <w:rPr>
                <w:b/>
                <w:sz w:val="24"/>
                <w:szCs w:val="24"/>
                <w:lang w:eastAsia="en-US"/>
              </w:rPr>
              <w:t>Secțiunea a 7-a  -</w:t>
            </w:r>
          </w:p>
          <w:p w14:paraId="7F55702E" w14:textId="77777777" w:rsidR="00A62EA6" w:rsidRPr="00384075" w:rsidRDefault="00A62EA6" w:rsidP="0050365C">
            <w:pPr>
              <w:jc w:val="center"/>
              <w:rPr>
                <w:b/>
                <w:sz w:val="24"/>
                <w:szCs w:val="24"/>
                <w:lang w:eastAsia="en-US"/>
              </w:rPr>
            </w:pPr>
            <w:r w:rsidRPr="00384075">
              <w:rPr>
                <w:b/>
                <w:sz w:val="24"/>
                <w:szCs w:val="24"/>
                <w:lang w:eastAsia="en-US"/>
              </w:rPr>
              <w:t>Activități de informare publică privind elaborarea și implementarea actului normativ</w:t>
            </w:r>
          </w:p>
          <w:p w14:paraId="0BBD9ECF" w14:textId="77777777" w:rsidR="0050365C" w:rsidRPr="00384075" w:rsidRDefault="0050365C" w:rsidP="0050365C">
            <w:pPr>
              <w:jc w:val="center"/>
              <w:rPr>
                <w:b/>
                <w:sz w:val="24"/>
                <w:szCs w:val="24"/>
                <w:lang w:eastAsia="en-US"/>
              </w:rPr>
            </w:pPr>
          </w:p>
        </w:tc>
      </w:tr>
      <w:tr w:rsidR="00384075" w:rsidRPr="00384075" w14:paraId="6D8064A5" w14:textId="77777777" w:rsidTr="00D66EA6">
        <w:trPr>
          <w:jc w:val="center"/>
        </w:trPr>
        <w:tc>
          <w:tcPr>
            <w:tcW w:w="10335" w:type="dxa"/>
            <w:gridSpan w:val="7"/>
          </w:tcPr>
          <w:p w14:paraId="0D86B40B" w14:textId="77777777" w:rsidR="00A62EA6" w:rsidRPr="00384075" w:rsidRDefault="00A62EA6" w:rsidP="0050365C">
            <w:pPr>
              <w:spacing w:after="120"/>
              <w:rPr>
                <w:sz w:val="24"/>
                <w:szCs w:val="24"/>
                <w:lang w:eastAsia="en-US"/>
              </w:rPr>
            </w:pPr>
            <w:r w:rsidRPr="00384075">
              <w:rPr>
                <w:sz w:val="24"/>
                <w:szCs w:val="24"/>
                <w:lang w:eastAsia="en-US"/>
              </w:rPr>
              <w:t>7.1. Informarea societății civile cu privire la necesitatea elaborării actului normativ</w:t>
            </w:r>
          </w:p>
          <w:p w14:paraId="788ACA86" w14:textId="77777777" w:rsidR="00A62EA6" w:rsidRPr="00384075" w:rsidRDefault="00A62EA6" w:rsidP="0050365C">
            <w:pPr>
              <w:spacing w:before="120" w:after="120"/>
              <w:rPr>
                <w:sz w:val="24"/>
                <w:szCs w:val="24"/>
              </w:rPr>
            </w:pPr>
            <w:r w:rsidRPr="00384075">
              <w:rPr>
                <w:sz w:val="24"/>
                <w:szCs w:val="24"/>
              </w:rPr>
              <w:t>A fost îndeplinită procedura prevăzută de dispoziţiile Legii nr. 52/2003 privind transparenţa decizională în administraţia publică. Proiectul a fost afişat pe site–ul Autorității Naționale pentru Protecția Consumatorilor</w:t>
            </w:r>
            <w:r w:rsidR="008C1656" w:rsidRPr="00384075">
              <w:rPr>
                <w:sz w:val="24"/>
                <w:szCs w:val="24"/>
              </w:rPr>
              <w:t xml:space="preserve"> la data de 05 mai 2025.</w:t>
            </w:r>
          </w:p>
          <w:p w14:paraId="063D54C4" w14:textId="61DD101F" w:rsidR="00BA0FFE" w:rsidRPr="00384075" w:rsidRDefault="00BA0FFE" w:rsidP="0050365C">
            <w:pPr>
              <w:spacing w:before="120" w:after="120"/>
              <w:rPr>
                <w:bCs/>
                <w:sz w:val="24"/>
                <w:szCs w:val="24"/>
              </w:rPr>
            </w:pPr>
            <w:r w:rsidRPr="00384075">
              <w:rPr>
                <w:bCs/>
                <w:sz w:val="24"/>
                <w:szCs w:val="24"/>
              </w:rPr>
              <w:t>Totodată</w:t>
            </w:r>
            <w:r w:rsidR="00B770AA" w:rsidRPr="00384075">
              <w:rPr>
                <w:bCs/>
                <w:sz w:val="24"/>
                <w:szCs w:val="24"/>
              </w:rPr>
              <w:t xml:space="preserve">, </w:t>
            </w:r>
            <w:r w:rsidRPr="00384075">
              <w:rPr>
                <w:bCs/>
                <w:sz w:val="24"/>
                <w:szCs w:val="24"/>
              </w:rPr>
              <w:t>Autoritatea a organizat o serie de consu</w:t>
            </w:r>
            <w:r w:rsidR="00203007" w:rsidRPr="00384075">
              <w:rPr>
                <w:bCs/>
                <w:sz w:val="24"/>
                <w:szCs w:val="24"/>
              </w:rPr>
              <w:t>l</w:t>
            </w:r>
            <w:r w:rsidRPr="00384075">
              <w:rPr>
                <w:bCs/>
                <w:sz w:val="24"/>
                <w:szCs w:val="24"/>
              </w:rPr>
              <w:t>tări publice atât cu reprezentanții operatorilor econom</w:t>
            </w:r>
            <w:r w:rsidR="00203007" w:rsidRPr="00384075">
              <w:rPr>
                <w:bCs/>
                <w:sz w:val="24"/>
                <w:szCs w:val="24"/>
              </w:rPr>
              <w:t>i</w:t>
            </w:r>
            <w:r w:rsidRPr="00384075">
              <w:rPr>
                <w:bCs/>
                <w:sz w:val="24"/>
                <w:szCs w:val="24"/>
              </w:rPr>
              <w:t>ci bancari cât și cu ai instituțiilor financiare non-bancare.</w:t>
            </w:r>
          </w:p>
          <w:p w14:paraId="03B5B8D5" w14:textId="52545CBC" w:rsidR="00BA0FFE" w:rsidRPr="00384075" w:rsidRDefault="00BA0FFE" w:rsidP="0050365C">
            <w:pPr>
              <w:spacing w:before="120" w:after="120"/>
              <w:rPr>
                <w:b/>
                <w:sz w:val="24"/>
                <w:szCs w:val="24"/>
                <w:lang w:eastAsia="en-US"/>
              </w:rPr>
            </w:pPr>
            <w:r w:rsidRPr="00384075">
              <w:rPr>
                <w:bCs/>
                <w:sz w:val="24"/>
                <w:szCs w:val="24"/>
              </w:rPr>
              <w:t>P</w:t>
            </w:r>
            <w:r w:rsidR="00203007" w:rsidRPr="00384075">
              <w:rPr>
                <w:bCs/>
                <w:sz w:val="24"/>
                <w:szCs w:val="24"/>
              </w:rPr>
              <w:t>ro</w:t>
            </w:r>
            <w:r w:rsidRPr="00384075">
              <w:rPr>
                <w:bCs/>
                <w:sz w:val="24"/>
                <w:szCs w:val="24"/>
              </w:rPr>
              <w:t>iectul de ordonanță de urgență a avut în vedere și observațiile formulate de către aceste instituții.</w:t>
            </w:r>
          </w:p>
        </w:tc>
      </w:tr>
      <w:tr w:rsidR="00384075" w:rsidRPr="00384075" w14:paraId="2A844FAA" w14:textId="77777777" w:rsidTr="00D66EA6">
        <w:trPr>
          <w:jc w:val="center"/>
        </w:trPr>
        <w:tc>
          <w:tcPr>
            <w:tcW w:w="10335" w:type="dxa"/>
            <w:gridSpan w:val="7"/>
          </w:tcPr>
          <w:p w14:paraId="71A200A7" w14:textId="77777777" w:rsidR="00A62EA6" w:rsidRPr="00384075" w:rsidRDefault="00A62EA6" w:rsidP="0050365C">
            <w:pPr>
              <w:rPr>
                <w:sz w:val="24"/>
                <w:szCs w:val="24"/>
                <w:lang w:eastAsia="en-US"/>
              </w:rPr>
            </w:pPr>
            <w:r w:rsidRPr="00384075">
              <w:rPr>
                <w:sz w:val="24"/>
                <w:szCs w:val="24"/>
                <w:lang w:eastAsia="en-US"/>
              </w:rPr>
              <w:t>7.2. Informarea societății civile cu privire la eventualul impact asupra mediului în urma implementării actului normativ, precum și efectele asupra sănătății și securității cetățenilor sau diversității biologice</w:t>
            </w:r>
          </w:p>
          <w:p w14:paraId="6F000A77" w14:textId="77777777" w:rsidR="00A62EA6" w:rsidRPr="00384075" w:rsidRDefault="00A62EA6" w:rsidP="0050365C">
            <w:pPr>
              <w:rPr>
                <w:sz w:val="24"/>
                <w:szCs w:val="24"/>
                <w:lang w:eastAsia="en-US"/>
              </w:rPr>
            </w:pPr>
            <w:r w:rsidRPr="00384075">
              <w:rPr>
                <w:sz w:val="24"/>
                <w:szCs w:val="24"/>
                <w:lang w:eastAsia="en-US"/>
              </w:rPr>
              <w:t>Prezentul act normativ nu se referă la acest subiect</w:t>
            </w:r>
            <w:r w:rsidR="00C70FA3" w:rsidRPr="00384075">
              <w:rPr>
                <w:sz w:val="24"/>
                <w:szCs w:val="24"/>
                <w:lang w:eastAsia="en-US"/>
              </w:rPr>
              <w:t>.</w:t>
            </w:r>
          </w:p>
          <w:p w14:paraId="6F9E648C" w14:textId="77777777" w:rsidR="00970FC4" w:rsidRPr="00384075" w:rsidRDefault="00970FC4" w:rsidP="0050365C">
            <w:pPr>
              <w:rPr>
                <w:sz w:val="24"/>
                <w:szCs w:val="24"/>
                <w:lang w:eastAsia="en-US"/>
              </w:rPr>
            </w:pPr>
          </w:p>
        </w:tc>
      </w:tr>
      <w:tr w:rsidR="00384075" w:rsidRPr="00384075" w14:paraId="7B60326C" w14:textId="77777777" w:rsidTr="00D66EA6">
        <w:trPr>
          <w:jc w:val="center"/>
        </w:trPr>
        <w:tc>
          <w:tcPr>
            <w:tcW w:w="10335" w:type="dxa"/>
            <w:gridSpan w:val="7"/>
          </w:tcPr>
          <w:p w14:paraId="30F0E987" w14:textId="77777777" w:rsidR="00A62EA6" w:rsidRPr="00384075" w:rsidRDefault="00A62EA6" w:rsidP="0050365C">
            <w:pPr>
              <w:rPr>
                <w:sz w:val="24"/>
                <w:szCs w:val="24"/>
                <w:lang w:eastAsia="en-US"/>
              </w:rPr>
            </w:pPr>
            <w:r w:rsidRPr="00384075">
              <w:rPr>
                <w:sz w:val="24"/>
                <w:szCs w:val="24"/>
                <w:lang w:eastAsia="en-US"/>
              </w:rPr>
              <w:t>7.3. Alte informații</w:t>
            </w:r>
          </w:p>
          <w:p w14:paraId="253B9F6F" w14:textId="77B050E4" w:rsidR="00A62EA6" w:rsidRPr="00384075" w:rsidRDefault="00A62EA6" w:rsidP="0050365C">
            <w:pPr>
              <w:rPr>
                <w:sz w:val="24"/>
                <w:szCs w:val="24"/>
                <w:lang w:eastAsia="en-US"/>
              </w:rPr>
            </w:pPr>
            <w:r w:rsidRPr="00384075">
              <w:rPr>
                <w:sz w:val="24"/>
                <w:szCs w:val="24"/>
                <w:lang w:eastAsia="en-US"/>
              </w:rPr>
              <w:t>Nu e</w:t>
            </w:r>
            <w:r w:rsidR="00B770AA" w:rsidRPr="00384075">
              <w:rPr>
                <w:sz w:val="24"/>
                <w:szCs w:val="24"/>
                <w:lang w:eastAsia="en-US"/>
              </w:rPr>
              <w:t>ste</w:t>
            </w:r>
            <w:r w:rsidRPr="00384075">
              <w:rPr>
                <w:sz w:val="24"/>
                <w:szCs w:val="24"/>
                <w:lang w:eastAsia="en-US"/>
              </w:rPr>
              <w:t xml:space="preserve"> cazul</w:t>
            </w:r>
            <w:r w:rsidR="00C70FA3" w:rsidRPr="00384075">
              <w:rPr>
                <w:sz w:val="24"/>
                <w:szCs w:val="24"/>
                <w:lang w:eastAsia="en-US"/>
              </w:rPr>
              <w:t>.</w:t>
            </w:r>
            <w:r w:rsidRPr="00384075">
              <w:rPr>
                <w:sz w:val="24"/>
                <w:szCs w:val="24"/>
                <w:lang w:eastAsia="en-US"/>
              </w:rPr>
              <w:t xml:space="preserve">     </w:t>
            </w:r>
          </w:p>
        </w:tc>
      </w:tr>
      <w:tr w:rsidR="00384075" w:rsidRPr="00384075" w14:paraId="48829889" w14:textId="77777777" w:rsidTr="00D66EA6">
        <w:trPr>
          <w:jc w:val="center"/>
        </w:trPr>
        <w:tc>
          <w:tcPr>
            <w:tcW w:w="10335" w:type="dxa"/>
            <w:gridSpan w:val="7"/>
          </w:tcPr>
          <w:p w14:paraId="347B55EB" w14:textId="77777777" w:rsidR="0050365C" w:rsidRPr="00384075" w:rsidRDefault="0050365C" w:rsidP="0050365C">
            <w:pPr>
              <w:jc w:val="center"/>
              <w:rPr>
                <w:b/>
                <w:sz w:val="24"/>
                <w:szCs w:val="24"/>
                <w:lang w:eastAsia="en-US"/>
              </w:rPr>
            </w:pPr>
          </w:p>
          <w:p w14:paraId="7A9BD56F" w14:textId="77777777" w:rsidR="00A62EA6" w:rsidRPr="00384075" w:rsidRDefault="00A62EA6" w:rsidP="0050365C">
            <w:pPr>
              <w:jc w:val="center"/>
              <w:rPr>
                <w:b/>
                <w:sz w:val="24"/>
                <w:szCs w:val="24"/>
                <w:lang w:eastAsia="en-US"/>
              </w:rPr>
            </w:pPr>
            <w:r w:rsidRPr="00384075">
              <w:rPr>
                <w:b/>
                <w:sz w:val="24"/>
                <w:szCs w:val="24"/>
                <w:lang w:eastAsia="en-US"/>
              </w:rPr>
              <w:t>Secțiunea a 8-a</w:t>
            </w:r>
          </w:p>
          <w:p w14:paraId="475804F3" w14:textId="77777777" w:rsidR="00A62EA6" w:rsidRPr="00384075" w:rsidRDefault="00A62EA6" w:rsidP="0050365C">
            <w:pPr>
              <w:jc w:val="center"/>
              <w:rPr>
                <w:b/>
                <w:sz w:val="24"/>
                <w:szCs w:val="24"/>
                <w:lang w:eastAsia="en-US"/>
              </w:rPr>
            </w:pPr>
            <w:r w:rsidRPr="00384075">
              <w:rPr>
                <w:b/>
                <w:sz w:val="24"/>
                <w:szCs w:val="24"/>
                <w:lang w:eastAsia="en-US"/>
              </w:rPr>
              <w:t>Măsuri privind implementarea, monitorizarea și evaluarea proiectului de act normativ</w:t>
            </w:r>
          </w:p>
          <w:p w14:paraId="16C2C169" w14:textId="77777777" w:rsidR="0050365C" w:rsidRPr="00384075" w:rsidRDefault="0050365C" w:rsidP="0050365C">
            <w:pPr>
              <w:jc w:val="center"/>
              <w:rPr>
                <w:b/>
                <w:sz w:val="24"/>
                <w:szCs w:val="24"/>
                <w:lang w:eastAsia="en-US"/>
              </w:rPr>
            </w:pPr>
          </w:p>
        </w:tc>
      </w:tr>
      <w:tr w:rsidR="00384075" w:rsidRPr="00384075" w14:paraId="48127654" w14:textId="77777777" w:rsidTr="00D66EA6">
        <w:trPr>
          <w:jc w:val="center"/>
        </w:trPr>
        <w:tc>
          <w:tcPr>
            <w:tcW w:w="10335" w:type="dxa"/>
            <w:gridSpan w:val="7"/>
          </w:tcPr>
          <w:p w14:paraId="55228CDF" w14:textId="77777777" w:rsidR="00AE4CC9" w:rsidRPr="00384075" w:rsidRDefault="00AE4CC9" w:rsidP="0050365C">
            <w:pPr>
              <w:rPr>
                <w:rFonts w:eastAsia="Calibri"/>
                <w:sz w:val="24"/>
                <w:szCs w:val="24"/>
                <w:lang w:eastAsia="en-US"/>
              </w:rPr>
            </w:pPr>
          </w:p>
          <w:p w14:paraId="29831D55" w14:textId="77777777" w:rsidR="00A62EA6" w:rsidRPr="00384075" w:rsidRDefault="00A62EA6" w:rsidP="0050365C">
            <w:pPr>
              <w:rPr>
                <w:rFonts w:eastAsia="Calibri"/>
                <w:sz w:val="24"/>
                <w:szCs w:val="24"/>
                <w:lang w:eastAsia="en-US"/>
              </w:rPr>
            </w:pPr>
            <w:r w:rsidRPr="00384075">
              <w:rPr>
                <w:rFonts w:eastAsia="Calibri"/>
                <w:sz w:val="24"/>
                <w:szCs w:val="24"/>
                <w:lang w:eastAsia="en-US"/>
              </w:rPr>
              <w:t>8.1. Măsurile de punere în aplicare a actului normativ</w:t>
            </w:r>
          </w:p>
          <w:p w14:paraId="260902F3" w14:textId="77777777" w:rsidR="00A62EA6" w:rsidRPr="00384075" w:rsidRDefault="00A62EA6" w:rsidP="0050365C">
            <w:pPr>
              <w:rPr>
                <w:snapToGrid w:val="0"/>
                <w:sz w:val="24"/>
                <w:szCs w:val="24"/>
              </w:rPr>
            </w:pPr>
            <w:r w:rsidRPr="00384075">
              <w:rPr>
                <w:snapToGrid w:val="0"/>
                <w:sz w:val="24"/>
                <w:szCs w:val="24"/>
              </w:rPr>
              <w:t>Implementarea măsurilor cuprinse în proiectul de act normativ este asigurată de Autoritatea Naţională pentru Protecţia Consumatorilor.</w:t>
            </w:r>
          </w:p>
          <w:p w14:paraId="42C2D92D" w14:textId="77777777" w:rsidR="00D8704D" w:rsidRPr="00384075" w:rsidRDefault="00D8704D" w:rsidP="0050365C">
            <w:pPr>
              <w:rPr>
                <w:b/>
                <w:sz w:val="24"/>
                <w:szCs w:val="24"/>
                <w:lang w:eastAsia="en-US"/>
              </w:rPr>
            </w:pPr>
          </w:p>
        </w:tc>
      </w:tr>
      <w:tr w:rsidR="00A62EA6" w:rsidRPr="00384075" w14:paraId="05FBECD9" w14:textId="77777777" w:rsidTr="00D66EA6">
        <w:trPr>
          <w:jc w:val="center"/>
        </w:trPr>
        <w:tc>
          <w:tcPr>
            <w:tcW w:w="10335" w:type="dxa"/>
            <w:gridSpan w:val="7"/>
          </w:tcPr>
          <w:p w14:paraId="07524C56" w14:textId="77777777" w:rsidR="00AE4CC9" w:rsidRPr="00384075" w:rsidRDefault="00AE4CC9" w:rsidP="0050365C">
            <w:pPr>
              <w:rPr>
                <w:sz w:val="24"/>
                <w:szCs w:val="24"/>
                <w:lang w:eastAsia="en-US"/>
              </w:rPr>
            </w:pPr>
          </w:p>
          <w:p w14:paraId="7B472E38" w14:textId="77777777" w:rsidR="00A62EA6" w:rsidRPr="00384075" w:rsidRDefault="00A62EA6" w:rsidP="0050365C">
            <w:pPr>
              <w:rPr>
                <w:sz w:val="24"/>
                <w:szCs w:val="24"/>
                <w:lang w:eastAsia="en-US"/>
              </w:rPr>
            </w:pPr>
            <w:r w:rsidRPr="00384075">
              <w:rPr>
                <w:sz w:val="24"/>
                <w:szCs w:val="24"/>
                <w:lang w:eastAsia="en-US"/>
              </w:rPr>
              <w:t>8.2. Alte informații</w:t>
            </w:r>
          </w:p>
          <w:p w14:paraId="74C51646" w14:textId="77777777" w:rsidR="00A62EA6" w:rsidRPr="00384075" w:rsidRDefault="00A62EA6" w:rsidP="0050365C">
            <w:pPr>
              <w:rPr>
                <w:snapToGrid w:val="0"/>
                <w:sz w:val="24"/>
                <w:szCs w:val="24"/>
              </w:rPr>
            </w:pPr>
            <w:r w:rsidRPr="00384075">
              <w:rPr>
                <w:snapToGrid w:val="0"/>
                <w:sz w:val="24"/>
                <w:szCs w:val="24"/>
              </w:rPr>
              <w:t>Nu au fost identificate</w:t>
            </w:r>
            <w:r w:rsidR="00C70FA3" w:rsidRPr="00384075">
              <w:rPr>
                <w:snapToGrid w:val="0"/>
                <w:sz w:val="24"/>
                <w:szCs w:val="24"/>
              </w:rPr>
              <w:t>.</w:t>
            </w:r>
          </w:p>
          <w:p w14:paraId="47F4660D" w14:textId="77777777" w:rsidR="001E680B" w:rsidRPr="00384075" w:rsidRDefault="001E680B" w:rsidP="0050365C">
            <w:pPr>
              <w:rPr>
                <w:rFonts w:eastAsia="Calibri"/>
                <w:sz w:val="24"/>
                <w:szCs w:val="24"/>
                <w:lang w:eastAsia="en-US"/>
              </w:rPr>
            </w:pPr>
          </w:p>
        </w:tc>
      </w:tr>
    </w:tbl>
    <w:p w14:paraId="2CB9F86E" w14:textId="77777777" w:rsidR="001E680B" w:rsidRPr="00384075" w:rsidRDefault="001E680B" w:rsidP="0050365C">
      <w:pPr>
        <w:spacing w:before="120" w:after="120"/>
        <w:jc w:val="both"/>
        <w:rPr>
          <w:snapToGrid w:val="0"/>
          <w:sz w:val="24"/>
          <w:szCs w:val="24"/>
        </w:rPr>
      </w:pPr>
      <w:bookmarkStart w:id="1" w:name="_Hlk100831499"/>
    </w:p>
    <w:p w14:paraId="757C6541" w14:textId="77777777" w:rsidR="00F07709" w:rsidRPr="00384075" w:rsidRDefault="00A62EA6" w:rsidP="00AD64D9">
      <w:pPr>
        <w:spacing w:before="120" w:after="120"/>
        <w:jc w:val="both"/>
        <w:rPr>
          <w:b/>
          <w:bCs/>
          <w:sz w:val="24"/>
          <w:szCs w:val="24"/>
        </w:rPr>
      </w:pPr>
      <w:r w:rsidRPr="00384075">
        <w:rPr>
          <w:snapToGrid w:val="0"/>
          <w:sz w:val="24"/>
          <w:szCs w:val="24"/>
        </w:rPr>
        <w:t xml:space="preserve">Faţă de cele prezentate, a fost elaborat prezentul </w:t>
      </w:r>
      <w:r w:rsidR="00CF5078" w:rsidRPr="00384075">
        <w:rPr>
          <w:snapToGrid w:val="0"/>
          <w:sz w:val="24"/>
          <w:szCs w:val="24"/>
        </w:rPr>
        <w:t>p</w:t>
      </w:r>
      <w:r w:rsidRPr="00384075">
        <w:rPr>
          <w:snapToGrid w:val="0"/>
          <w:sz w:val="24"/>
          <w:szCs w:val="24"/>
        </w:rPr>
        <w:t>roiect</w:t>
      </w:r>
      <w:r w:rsidR="00CF5078" w:rsidRPr="00384075">
        <w:rPr>
          <w:snapToGrid w:val="0"/>
          <w:sz w:val="24"/>
          <w:szCs w:val="24"/>
        </w:rPr>
        <w:t xml:space="preserve"> de </w:t>
      </w:r>
      <w:r w:rsidR="00AD64D9" w:rsidRPr="00384075">
        <w:rPr>
          <w:b/>
          <w:bCs/>
          <w:sz w:val="24"/>
          <w:szCs w:val="24"/>
        </w:rPr>
        <w:t>Ordonanță de urgență</w:t>
      </w:r>
      <w:r w:rsidR="008C1656" w:rsidRPr="00384075">
        <w:rPr>
          <w:b/>
          <w:bCs/>
          <w:sz w:val="24"/>
          <w:szCs w:val="24"/>
        </w:rPr>
        <w:t xml:space="preserve"> </w:t>
      </w:r>
      <w:r w:rsidR="00AD64D9" w:rsidRPr="00384075">
        <w:rPr>
          <w:b/>
          <w:bCs/>
          <w:sz w:val="24"/>
          <w:szCs w:val="24"/>
        </w:rPr>
        <w:t>privind contractele de credit de consum precum și pentru modificarea și completarea unor acte normative în domeniul financiar</w:t>
      </w:r>
      <w:r w:rsidR="008B5C83" w:rsidRPr="00384075">
        <w:rPr>
          <w:b/>
          <w:bCs/>
          <w:sz w:val="24"/>
          <w:szCs w:val="24"/>
        </w:rPr>
        <w:t xml:space="preserve">, </w:t>
      </w:r>
      <w:r w:rsidR="008B5C83" w:rsidRPr="00384075">
        <w:rPr>
          <w:snapToGrid w:val="0"/>
          <w:sz w:val="24"/>
          <w:szCs w:val="24"/>
        </w:rPr>
        <w:t>pe care, dacă sunteţi de acord, vă rugăm să îl aprobați.</w:t>
      </w:r>
    </w:p>
    <w:p w14:paraId="404571E3" w14:textId="77777777" w:rsidR="00E6159A" w:rsidRPr="00384075" w:rsidRDefault="00E6159A" w:rsidP="0050365C">
      <w:pPr>
        <w:jc w:val="both"/>
        <w:rPr>
          <w:b/>
          <w:bCs/>
          <w:sz w:val="24"/>
          <w:szCs w:val="24"/>
          <w:lang w:val="pt-BR"/>
        </w:rPr>
      </w:pPr>
      <w:r w:rsidRPr="00384075">
        <w:rPr>
          <w:b/>
          <w:bCs/>
          <w:sz w:val="24"/>
          <w:szCs w:val="24"/>
        </w:rPr>
        <w:t xml:space="preserve">                                                </w:t>
      </w:r>
    </w:p>
    <w:p w14:paraId="7BAE8DFE" w14:textId="77777777" w:rsidR="00F56AFA" w:rsidRDefault="00E6159A" w:rsidP="00F56AFA">
      <w:pPr>
        <w:jc w:val="center"/>
        <w:rPr>
          <w:b/>
          <w:bCs/>
          <w:color w:val="000000"/>
          <w:sz w:val="24"/>
          <w:szCs w:val="24"/>
          <w:shd w:val="clear" w:color="auto" w:fill="FFFFFF"/>
        </w:rPr>
      </w:pPr>
      <w:r w:rsidRPr="00384075">
        <w:rPr>
          <w:sz w:val="24"/>
          <w:szCs w:val="24"/>
        </w:rPr>
        <w:t xml:space="preserve"> </w:t>
      </w:r>
      <w:bookmarkEnd w:id="1"/>
      <w:r w:rsidR="00BF3862" w:rsidRPr="00384075">
        <w:rPr>
          <w:sz w:val="24"/>
          <w:szCs w:val="24"/>
        </w:rPr>
        <w:tab/>
      </w:r>
      <w:r w:rsidR="00F56AFA">
        <w:rPr>
          <w:b/>
          <w:bCs/>
          <w:color w:val="000000"/>
          <w:sz w:val="24"/>
          <w:szCs w:val="24"/>
          <w:shd w:val="clear" w:color="auto" w:fill="FFFFFF"/>
        </w:rPr>
        <w:t>MINISTRUL ECONOMIEI, DIGITALIZĂRII, ANTREPRENORIATULUI</w:t>
      </w:r>
    </w:p>
    <w:p w14:paraId="728A50F7" w14:textId="77777777" w:rsidR="00F56AFA" w:rsidRDefault="00F56AFA" w:rsidP="00F56AFA">
      <w:pPr>
        <w:jc w:val="center"/>
        <w:rPr>
          <w:rFonts w:eastAsia="Calibri"/>
          <w:b/>
          <w:bCs/>
          <w:color w:val="000000"/>
          <w:sz w:val="24"/>
          <w:szCs w:val="24"/>
        </w:rPr>
      </w:pPr>
      <w:r>
        <w:rPr>
          <w:b/>
          <w:bCs/>
          <w:color w:val="000000"/>
          <w:sz w:val="24"/>
          <w:szCs w:val="24"/>
          <w:shd w:val="clear" w:color="auto" w:fill="FFFFFF"/>
        </w:rPr>
        <w:t>ȘI TURISMULUI</w:t>
      </w:r>
      <w:r>
        <w:rPr>
          <w:rFonts w:eastAsia="Calibri"/>
          <w:b/>
          <w:bCs/>
          <w:color w:val="000000"/>
          <w:sz w:val="24"/>
          <w:szCs w:val="24"/>
        </w:rPr>
        <w:t>,</w:t>
      </w:r>
    </w:p>
    <w:p w14:paraId="3F511223" w14:textId="77777777" w:rsidR="00F56AFA" w:rsidRDefault="00F56AFA" w:rsidP="00F56AFA">
      <w:pPr>
        <w:ind w:left="2832"/>
        <w:rPr>
          <w:rFonts w:eastAsia="Calibri"/>
          <w:b/>
          <w:bCs/>
          <w:color w:val="000000"/>
          <w:sz w:val="24"/>
          <w:szCs w:val="24"/>
        </w:rPr>
      </w:pPr>
      <w:r>
        <w:rPr>
          <w:rFonts w:eastAsia="Calibri"/>
          <w:b/>
          <w:bCs/>
          <w:color w:val="000000"/>
          <w:sz w:val="24"/>
          <w:szCs w:val="24"/>
        </w:rPr>
        <w:t>AMBROZIE IRINEU DARĂU</w:t>
      </w:r>
    </w:p>
    <w:p w14:paraId="24318CAD" w14:textId="77777777" w:rsidR="00F56AFA" w:rsidRDefault="00F56AFA" w:rsidP="00F56AFA">
      <w:pPr>
        <w:rPr>
          <w:rFonts w:eastAsia="Calibri"/>
          <w:b/>
          <w:bCs/>
          <w:color w:val="000000"/>
          <w:sz w:val="24"/>
          <w:szCs w:val="24"/>
        </w:rPr>
      </w:pPr>
    </w:p>
    <w:p w14:paraId="1BEE9906" w14:textId="77777777" w:rsidR="00F56AFA" w:rsidRDefault="00F56AFA" w:rsidP="00F56AFA">
      <w:pPr>
        <w:jc w:val="center"/>
        <w:rPr>
          <w:rFonts w:eastAsia="Calibri"/>
          <w:b/>
          <w:bCs/>
          <w:color w:val="000000"/>
          <w:sz w:val="24"/>
          <w:szCs w:val="24"/>
        </w:rPr>
      </w:pPr>
    </w:p>
    <w:p w14:paraId="2B713C4B" w14:textId="77777777" w:rsidR="00F56AFA" w:rsidRDefault="00F56AFA" w:rsidP="00F56AFA">
      <w:pPr>
        <w:jc w:val="center"/>
        <w:rPr>
          <w:rFonts w:eastAsia="Calibri"/>
          <w:b/>
          <w:bCs/>
          <w:color w:val="000000"/>
          <w:sz w:val="24"/>
          <w:szCs w:val="24"/>
        </w:rPr>
      </w:pPr>
    </w:p>
    <w:p w14:paraId="3222DD2B" w14:textId="77777777" w:rsidR="00F56AFA" w:rsidRDefault="00F56AFA" w:rsidP="00F56AFA">
      <w:pPr>
        <w:jc w:val="center"/>
        <w:rPr>
          <w:rFonts w:eastAsia="Calibri"/>
          <w:b/>
          <w:bCs/>
          <w:color w:val="000000"/>
          <w:sz w:val="24"/>
          <w:szCs w:val="24"/>
        </w:rPr>
      </w:pPr>
      <w:r>
        <w:rPr>
          <w:rFonts w:eastAsia="Calibri"/>
          <w:b/>
          <w:bCs/>
          <w:color w:val="000000"/>
          <w:sz w:val="24"/>
          <w:szCs w:val="24"/>
        </w:rPr>
        <w:t xml:space="preserve">AUTORITATEA NAŢIONALĂ PENTRU PROTECŢIA CONSUMATORILOR </w:t>
      </w:r>
    </w:p>
    <w:p w14:paraId="7E8B7EE1" w14:textId="77777777" w:rsidR="00F56AFA" w:rsidRDefault="00F56AFA" w:rsidP="00F56AFA">
      <w:pPr>
        <w:jc w:val="center"/>
        <w:rPr>
          <w:rFonts w:eastAsia="Calibri"/>
          <w:b/>
          <w:bCs/>
          <w:color w:val="000000"/>
          <w:sz w:val="24"/>
          <w:szCs w:val="24"/>
        </w:rPr>
      </w:pPr>
      <w:r>
        <w:rPr>
          <w:rFonts w:eastAsia="Calibri"/>
          <w:b/>
          <w:bCs/>
          <w:color w:val="000000"/>
          <w:sz w:val="24"/>
          <w:szCs w:val="24"/>
        </w:rPr>
        <w:t>p.PREȘEDINTE,</w:t>
      </w:r>
    </w:p>
    <w:p w14:paraId="488F69C9" w14:textId="77777777" w:rsidR="00F56AFA" w:rsidRDefault="00F56AFA" w:rsidP="00F56AFA">
      <w:pPr>
        <w:jc w:val="center"/>
        <w:rPr>
          <w:rFonts w:eastAsia="Calibri"/>
          <w:b/>
          <w:bCs/>
          <w:color w:val="000000"/>
          <w:sz w:val="24"/>
          <w:szCs w:val="24"/>
        </w:rPr>
      </w:pPr>
      <w:r>
        <w:rPr>
          <w:rFonts w:eastAsia="Calibri"/>
          <w:b/>
          <w:bCs/>
          <w:color w:val="000000"/>
          <w:sz w:val="24"/>
          <w:szCs w:val="24"/>
        </w:rPr>
        <w:t>Vp. IONEL-CRISTINEL OBRETIN</w:t>
      </w:r>
    </w:p>
    <w:p w14:paraId="40DA1B29" w14:textId="77777777" w:rsidR="00F56AFA" w:rsidRDefault="00F56AFA" w:rsidP="00F56AFA">
      <w:pPr>
        <w:jc w:val="center"/>
        <w:rPr>
          <w:rFonts w:eastAsia="Calibri"/>
          <w:b/>
          <w:bCs/>
          <w:color w:val="000000"/>
          <w:sz w:val="24"/>
          <w:szCs w:val="24"/>
        </w:rPr>
      </w:pPr>
    </w:p>
    <w:p w14:paraId="0A50D741" w14:textId="77777777" w:rsidR="00F56AFA" w:rsidRDefault="00F56AFA" w:rsidP="00F56AFA">
      <w:pPr>
        <w:jc w:val="center"/>
        <w:rPr>
          <w:rFonts w:eastAsia="Calibri"/>
          <w:b/>
          <w:bCs/>
          <w:color w:val="000000"/>
          <w:sz w:val="24"/>
          <w:szCs w:val="24"/>
        </w:rPr>
      </w:pPr>
    </w:p>
    <w:p w14:paraId="5A5E868B" w14:textId="77777777" w:rsidR="00F56AFA" w:rsidRDefault="00F56AFA" w:rsidP="00F56AFA">
      <w:pPr>
        <w:jc w:val="center"/>
        <w:rPr>
          <w:rFonts w:eastAsia="Calibri"/>
          <w:b/>
          <w:bCs/>
          <w:color w:val="000000"/>
          <w:sz w:val="24"/>
          <w:szCs w:val="24"/>
          <w:u w:val="single"/>
        </w:rPr>
      </w:pPr>
      <w:r>
        <w:rPr>
          <w:rFonts w:eastAsia="Calibri"/>
          <w:b/>
          <w:bCs/>
          <w:color w:val="000000"/>
          <w:sz w:val="24"/>
          <w:szCs w:val="24"/>
          <w:u w:val="single"/>
        </w:rPr>
        <w:t>AVIZAT FAVORABIL:</w:t>
      </w:r>
    </w:p>
    <w:p w14:paraId="775C6998" w14:textId="77777777" w:rsidR="00F56AFA" w:rsidRDefault="00F56AFA" w:rsidP="00F56AFA">
      <w:pPr>
        <w:jc w:val="center"/>
        <w:rPr>
          <w:rFonts w:eastAsia="Calibri"/>
          <w:b/>
          <w:bCs/>
          <w:color w:val="000000"/>
          <w:sz w:val="24"/>
          <w:szCs w:val="24"/>
          <w:u w:val="single"/>
        </w:rPr>
      </w:pPr>
    </w:p>
    <w:p w14:paraId="2F4BEA06" w14:textId="77777777" w:rsidR="00F56AFA" w:rsidRDefault="00F56AFA" w:rsidP="00F56AFA">
      <w:pPr>
        <w:jc w:val="center"/>
        <w:rPr>
          <w:rFonts w:eastAsia="Calibri"/>
          <w:b/>
          <w:bCs/>
          <w:color w:val="000000"/>
          <w:sz w:val="24"/>
          <w:szCs w:val="24"/>
        </w:rPr>
      </w:pPr>
      <w:r>
        <w:rPr>
          <w:rFonts w:eastAsia="Calibri"/>
          <w:b/>
          <w:bCs/>
          <w:color w:val="000000"/>
          <w:sz w:val="24"/>
          <w:szCs w:val="24"/>
        </w:rPr>
        <w:t>VICEPRIM-MINISTRU,</w:t>
      </w:r>
    </w:p>
    <w:p w14:paraId="0E5DC11F" w14:textId="77777777" w:rsidR="00F56AFA" w:rsidRDefault="00F56AFA" w:rsidP="00F56AFA">
      <w:pPr>
        <w:jc w:val="center"/>
        <w:rPr>
          <w:rFonts w:eastAsia="Calibri"/>
          <w:b/>
          <w:bCs/>
          <w:color w:val="000000"/>
          <w:sz w:val="24"/>
          <w:szCs w:val="24"/>
        </w:rPr>
      </w:pPr>
      <w:r>
        <w:rPr>
          <w:rFonts w:eastAsia="Calibri"/>
          <w:b/>
          <w:bCs/>
          <w:color w:val="000000"/>
          <w:sz w:val="24"/>
          <w:szCs w:val="24"/>
        </w:rPr>
        <w:t>MINISTRUL APĂRĂRII NAȚIONALE</w:t>
      </w:r>
    </w:p>
    <w:p w14:paraId="3DC68D0A" w14:textId="77777777" w:rsidR="00F56AFA" w:rsidRDefault="00F56AFA" w:rsidP="00F56AFA">
      <w:pPr>
        <w:jc w:val="center"/>
        <w:rPr>
          <w:rFonts w:eastAsia="Calibri"/>
          <w:b/>
          <w:bCs/>
          <w:color w:val="000000"/>
          <w:sz w:val="24"/>
          <w:szCs w:val="24"/>
        </w:rPr>
      </w:pPr>
      <w:r>
        <w:rPr>
          <w:rFonts w:eastAsia="Calibri"/>
          <w:b/>
          <w:bCs/>
          <w:color w:val="000000"/>
          <w:sz w:val="24"/>
          <w:szCs w:val="24"/>
        </w:rPr>
        <w:t>RADU-DINEL MIRUȚĂ</w:t>
      </w:r>
    </w:p>
    <w:p w14:paraId="051D9D1E" w14:textId="77777777" w:rsidR="00F56AFA" w:rsidRDefault="00F56AFA" w:rsidP="00F56AFA">
      <w:pPr>
        <w:jc w:val="center"/>
        <w:rPr>
          <w:rFonts w:eastAsia="Calibri"/>
          <w:b/>
          <w:bCs/>
          <w:color w:val="000000"/>
          <w:sz w:val="24"/>
          <w:szCs w:val="24"/>
          <w:u w:val="single"/>
        </w:rPr>
      </w:pPr>
    </w:p>
    <w:p w14:paraId="47BA3897" w14:textId="5C212B43" w:rsidR="00F14E33" w:rsidRPr="00384075" w:rsidRDefault="00F14E33" w:rsidP="00F56AFA">
      <w:pPr>
        <w:jc w:val="center"/>
        <w:rPr>
          <w:rFonts w:eastAsia="Calibri"/>
          <w:b/>
          <w:bCs/>
          <w:sz w:val="24"/>
          <w:szCs w:val="24"/>
          <w:u w:val="single"/>
        </w:rPr>
      </w:pPr>
    </w:p>
    <w:p w14:paraId="4E19D3BE" w14:textId="77777777" w:rsidR="001E680B" w:rsidRPr="00384075" w:rsidRDefault="001E680B" w:rsidP="0050365C">
      <w:pPr>
        <w:jc w:val="center"/>
        <w:rPr>
          <w:rFonts w:eastAsia="Calibri"/>
          <w:b/>
          <w:bCs/>
          <w:sz w:val="24"/>
          <w:szCs w:val="24"/>
          <w:u w:val="single"/>
        </w:rPr>
      </w:pPr>
    </w:p>
    <w:p w14:paraId="033AB757" w14:textId="77777777" w:rsidR="00F14E33" w:rsidRPr="00384075" w:rsidRDefault="00F14E33" w:rsidP="0050365C">
      <w:pPr>
        <w:jc w:val="center"/>
        <w:rPr>
          <w:rFonts w:eastAsia="Calibri"/>
          <w:b/>
          <w:bCs/>
          <w:sz w:val="24"/>
          <w:szCs w:val="24"/>
          <w:u w:val="single"/>
        </w:rPr>
      </w:pPr>
    </w:p>
    <w:tbl>
      <w:tblPr>
        <w:tblW w:w="0" w:type="auto"/>
        <w:jc w:val="center"/>
        <w:tblLook w:val="04A0" w:firstRow="1" w:lastRow="0" w:firstColumn="1" w:lastColumn="0" w:noHBand="0" w:noVBand="1"/>
      </w:tblPr>
      <w:tblGrid>
        <w:gridCol w:w="4843"/>
        <w:gridCol w:w="4795"/>
      </w:tblGrid>
      <w:tr w:rsidR="00F14E33" w:rsidRPr="00384075" w14:paraId="05186D25" w14:textId="77777777">
        <w:trPr>
          <w:trHeight w:val="1583"/>
          <w:jc w:val="center"/>
        </w:trPr>
        <w:tc>
          <w:tcPr>
            <w:tcW w:w="4974" w:type="dxa"/>
          </w:tcPr>
          <w:p w14:paraId="7E982439" w14:textId="77777777" w:rsidR="00F14E33" w:rsidRPr="00384075" w:rsidRDefault="00F14E33" w:rsidP="0050365C">
            <w:pPr>
              <w:jc w:val="center"/>
              <w:rPr>
                <w:rFonts w:eastAsia="Calibri"/>
                <w:b/>
                <w:bCs/>
                <w:sz w:val="24"/>
                <w:szCs w:val="24"/>
              </w:rPr>
            </w:pPr>
          </w:p>
          <w:p w14:paraId="2DB29193" w14:textId="77777777" w:rsidR="009A121E" w:rsidRPr="00384075" w:rsidRDefault="009A121E" w:rsidP="0050365C">
            <w:pPr>
              <w:jc w:val="center"/>
              <w:rPr>
                <w:rFonts w:eastAsia="Calibri"/>
                <w:b/>
                <w:bCs/>
                <w:sz w:val="24"/>
                <w:szCs w:val="24"/>
              </w:rPr>
            </w:pPr>
          </w:p>
          <w:p w14:paraId="36879057" w14:textId="77777777" w:rsidR="009A121E" w:rsidRPr="00384075" w:rsidRDefault="009A121E" w:rsidP="009A121E">
            <w:pPr>
              <w:pStyle w:val="NormalWeb"/>
              <w:shd w:val="clear" w:color="auto" w:fill="FFFFFF"/>
              <w:spacing w:before="0" w:beforeAutospacing="0" w:after="0" w:afterAutospacing="0" w:line="240" w:lineRule="atLeast"/>
              <w:jc w:val="center"/>
              <w:textAlignment w:val="baseline"/>
              <w:rPr>
                <w:b/>
                <w:bCs/>
              </w:rPr>
            </w:pPr>
            <w:r w:rsidRPr="00384075">
              <w:rPr>
                <w:b/>
                <w:bCs/>
              </w:rPr>
              <w:t>MINISTRUL FINANȚELOR</w:t>
            </w:r>
          </w:p>
          <w:p w14:paraId="09B92E94" w14:textId="77777777" w:rsidR="009A121E" w:rsidRPr="00384075" w:rsidRDefault="00000000" w:rsidP="009A121E">
            <w:pPr>
              <w:pStyle w:val="Heading3"/>
              <w:shd w:val="clear" w:color="auto" w:fill="FFFFFF"/>
              <w:spacing w:before="0" w:after="0"/>
              <w:jc w:val="center"/>
              <w:textAlignment w:val="baseline"/>
              <w:rPr>
                <w:rFonts w:ascii="Times New Roman" w:hAnsi="Times New Roman"/>
                <w:sz w:val="24"/>
                <w:szCs w:val="24"/>
                <w:lang w:val="en-US" w:eastAsia="en-US"/>
              </w:rPr>
            </w:pPr>
            <w:hyperlink r:id="rId8" w:history="1">
              <w:r w:rsidR="00CE38F2" w:rsidRPr="00384075">
                <w:rPr>
                  <w:rStyle w:val="Hyperlink"/>
                  <w:rFonts w:ascii="Times New Roman" w:hAnsi="Times New Roman"/>
                  <w:color w:val="auto"/>
                  <w:sz w:val="24"/>
                  <w:szCs w:val="24"/>
                  <w:u w:val="none"/>
                  <w:bdr w:val="none" w:sz="0" w:space="0" w:color="auto" w:frame="1"/>
                </w:rPr>
                <w:t>ALEXANDRU</w:t>
              </w:r>
            </w:hyperlink>
            <w:r w:rsidR="00CE38F2" w:rsidRPr="00384075">
              <w:rPr>
                <w:rFonts w:ascii="Times New Roman" w:hAnsi="Times New Roman"/>
                <w:sz w:val="24"/>
                <w:szCs w:val="24"/>
              </w:rPr>
              <w:t xml:space="preserve"> NAZARE</w:t>
            </w:r>
          </w:p>
          <w:p w14:paraId="203C967F" w14:textId="77777777" w:rsidR="00311584" w:rsidRPr="00384075" w:rsidRDefault="00311584" w:rsidP="0050365C">
            <w:pPr>
              <w:jc w:val="center"/>
              <w:rPr>
                <w:rFonts w:eastAsia="Calibri"/>
                <w:b/>
                <w:bCs/>
                <w:sz w:val="24"/>
                <w:szCs w:val="24"/>
                <w:lang w:val="pt-PT"/>
              </w:rPr>
            </w:pPr>
          </w:p>
          <w:p w14:paraId="4F66387D" w14:textId="77777777" w:rsidR="001E680B" w:rsidRPr="00384075" w:rsidRDefault="001E680B" w:rsidP="0050365C">
            <w:pPr>
              <w:jc w:val="center"/>
              <w:rPr>
                <w:rFonts w:eastAsia="Calibri"/>
                <w:b/>
                <w:bCs/>
                <w:sz w:val="24"/>
                <w:szCs w:val="24"/>
                <w:lang w:val="pt-PT"/>
              </w:rPr>
            </w:pPr>
          </w:p>
          <w:p w14:paraId="1F91EFA6" w14:textId="77777777" w:rsidR="001E680B" w:rsidRPr="00384075" w:rsidRDefault="001E680B" w:rsidP="0050365C">
            <w:pPr>
              <w:jc w:val="center"/>
              <w:rPr>
                <w:rFonts w:eastAsia="Calibri"/>
                <w:b/>
                <w:bCs/>
                <w:sz w:val="24"/>
                <w:szCs w:val="24"/>
                <w:lang w:val="pt-PT"/>
              </w:rPr>
            </w:pPr>
          </w:p>
          <w:p w14:paraId="3CA37DC9" w14:textId="77777777" w:rsidR="009A121E" w:rsidRPr="00384075" w:rsidRDefault="009A121E" w:rsidP="0050365C">
            <w:pPr>
              <w:jc w:val="center"/>
              <w:rPr>
                <w:rFonts w:eastAsia="Calibri"/>
                <w:b/>
                <w:bCs/>
                <w:sz w:val="24"/>
                <w:szCs w:val="24"/>
                <w:lang w:val="pt-PT"/>
              </w:rPr>
            </w:pPr>
          </w:p>
          <w:p w14:paraId="671D509F" w14:textId="77777777" w:rsidR="00311584" w:rsidRPr="00384075" w:rsidRDefault="00311584" w:rsidP="0050365C">
            <w:pPr>
              <w:jc w:val="center"/>
              <w:rPr>
                <w:rFonts w:eastAsia="Calibri"/>
                <w:b/>
                <w:bCs/>
                <w:sz w:val="24"/>
                <w:szCs w:val="24"/>
                <w:lang w:val="pt-PT"/>
              </w:rPr>
            </w:pPr>
          </w:p>
          <w:p w14:paraId="6AAAE456" w14:textId="77777777" w:rsidR="00F14E33" w:rsidRPr="00384075" w:rsidRDefault="00F14E33" w:rsidP="0050365C">
            <w:pPr>
              <w:jc w:val="center"/>
              <w:rPr>
                <w:rFonts w:eastAsia="Calibri"/>
                <w:b/>
                <w:bCs/>
                <w:sz w:val="24"/>
                <w:szCs w:val="24"/>
              </w:rPr>
            </w:pPr>
            <w:r w:rsidRPr="00384075">
              <w:rPr>
                <w:rFonts w:eastAsia="Calibri"/>
                <w:b/>
                <w:bCs/>
                <w:sz w:val="24"/>
                <w:szCs w:val="24"/>
              </w:rPr>
              <w:t>MINISTRUL AFACERILOR EXTERNE</w:t>
            </w:r>
          </w:p>
          <w:p w14:paraId="3906ABC2" w14:textId="77777777" w:rsidR="00F14E33" w:rsidRPr="00384075" w:rsidRDefault="00923451" w:rsidP="0050365C">
            <w:pPr>
              <w:jc w:val="center"/>
              <w:rPr>
                <w:rFonts w:eastAsia="Calibri"/>
                <w:b/>
                <w:bCs/>
                <w:sz w:val="24"/>
                <w:szCs w:val="24"/>
                <w:lang w:val="pt-PT"/>
              </w:rPr>
            </w:pPr>
            <w:r w:rsidRPr="00384075">
              <w:rPr>
                <w:rFonts w:eastAsia="Calibri"/>
                <w:b/>
                <w:bCs/>
                <w:sz w:val="24"/>
                <w:szCs w:val="24"/>
                <w:lang w:val="pt-PT"/>
              </w:rPr>
              <w:t>OANA-SILVIA ȚOIU</w:t>
            </w:r>
            <w:r w:rsidR="00311584" w:rsidRPr="00384075">
              <w:rPr>
                <w:rFonts w:eastAsia="Calibri"/>
                <w:b/>
                <w:bCs/>
                <w:sz w:val="24"/>
                <w:szCs w:val="24"/>
                <w:lang w:val="pt-PT"/>
              </w:rPr>
              <w:t xml:space="preserve"> </w:t>
            </w:r>
          </w:p>
        </w:tc>
        <w:tc>
          <w:tcPr>
            <w:tcW w:w="4930" w:type="dxa"/>
          </w:tcPr>
          <w:p w14:paraId="4FF7F643" w14:textId="77777777" w:rsidR="00F14E33" w:rsidRPr="00384075" w:rsidRDefault="00F14E33" w:rsidP="0050365C">
            <w:pPr>
              <w:jc w:val="center"/>
              <w:rPr>
                <w:rFonts w:eastAsia="Calibri"/>
                <w:b/>
                <w:bCs/>
                <w:sz w:val="24"/>
                <w:szCs w:val="24"/>
                <w:lang w:val="pt-PT"/>
              </w:rPr>
            </w:pPr>
            <w:r w:rsidRPr="00384075">
              <w:rPr>
                <w:rFonts w:eastAsia="Calibri"/>
                <w:b/>
                <w:bCs/>
                <w:sz w:val="24"/>
                <w:szCs w:val="24"/>
                <w:lang w:val="pt-PT"/>
              </w:rPr>
              <w:t xml:space="preserve">            </w:t>
            </w:r>
          </w:p>
          <w:p w14:paraId="76AF386F" w14:textId="77777777" w:rsidR="00F14E33" w:rsidRPr="00384075" w:rsidRDefault="00F14E33" w:rsidP="0050365C">
            <w:pPr>
              <w:jc w:val="center"/>
              <w:rPr>
                <w:rFonts w:eastAsia="Calibri"/>
                <w:b/>
                <w:bCs/>
                <w:sz w:val="24"/>
                <w:szCs w:val="24"/>
                <w:lang w:val="pt-PT"/>
              </w:rPr>
            </w:pPr>
          </w:p>
          <w:p w14:paraId="3B150132" w14:textId="77777777" w:rsidR="00F14E33" w:rsidRPr="00384075" w:rsidRDefault="00F14E33" w:rsidP="0050365C">
            <w:pPr>
              <w:jc w:val="center"/>
              <w:rPr>
                <w:rFonts w:eastAsia="Calibri"/>
                <w:b/>
                <w:bCs/>
                <w:sz w:val="24"/>
                <w:szCs w:val="24"/>
                <w:lang w:val="pt-PT"/>
              </w:rPr>
            </w:pPr>
          </w:p>
          <w:p w14:paraId="2FDBB335" w14:textId="77777777" w:rsidR="00F14E33" w:rsidRPr="00384075" w:rsidRDefault="00F14E33" w:rsidP="0050365C">
            <w:pPr>
              <w:jc w:val="center"/>
              <w:rPr>
                <w:rFonts w:eastAsia="Calibri"/>
                <w:b/>
                <w:bCs/>
                <w:sz w:val="24"/>
                <w:szCs w:val="24"/>
                <w:lang w:val="pt-PT"/>
              </w:rPr>
            </w:pPr>
          </w:p>
          <w:p w14:paraId="1A76BC24" w14:textId="77777777" w:rsidR="00F14E33" w:rsidRPr="00384075" w:rsidRDefault="00F14E33" w:rsidP="0050365C">
            <w:pPr>
              <w:jc w:val="center"/>
              <w:rPr>
                <w:rFonts w:eastAsia="Calibri"/>
                <w:b/>
                <w:bCs/>
                <w:sz w:val="24"/>
                <w:szCs w:val="24"/>
                <w:lang w:val="pt-PT"/>
              </w:rPr>
            </w:pPr>
          </w:p>
          <w:p w14:paraId="581C7A48" w14:textId="77777777" w:rsidR="00F14E33" w:rsidRPr="00384075" w:rsidRDefault="00F14E33" w:rsidP="0050365C">
            <w:pPr>
              <w:jc w:val="center"/>
              <w:rPr>
                <w:rFonts w:eastAsia="Calibri"/>
                <w:b/>
                <w:bCs/>
                <w:sz w:val="24"/>
                <w:szCs w:val="24"/>
                <w:lang w:val="pt-PT"/>
              </w:rPr>
            </w:pPr>
            <w:r w:rsidRPr="00384075">
              <w:rPr>
                <w:rFonts w:eastAsia="Calibri"/>
                <w:b/>
                <w:bCs/>
                <w:sz w:val="24"/>
                <w:szCs w:val="24"/>
                <w:lang w:val="pt-PT"/>
              </w:rPr>
              <w:t xml:space="preserve">      </w:t>
            </w:r>
          </w:p>
          <w:p w14:paraId="578C07C1" w14:textId="77777777" w:rsidR="00F14E33" w:rsidRPr="00384075" w:rsidRDefault="00F14E33" w:rsidP="0050365C">
            <w:pPr>
              <w:jc w:val="center"/>
              <w:rPr>
                <w:rFonts w:eastAsia="Calibri"/>
                <w:b/>
                <w:bCs/>
                <w:sz w:val="24"/>
                <w:szCs w:val="24"/>
                <w:lang w:val="pt-PT"/>
              </w:rPr>
            </w:pPr>
            <w:r w:rsidRPr="00384075">
              <w:rPr>
                <w:rFonts w:eastAsia="Calibri"/>
                <w:b/>
                <w:bCs/>
                <w:sz w:val="24"/>
                <w:szCs w:val="24"/>
                <w:lang w:val="pt-PT"/>
              </w:rPr>
              <w:t xml:space="preserve">         </w:t>
            </w:r>
          </w:p>
          <w:p w14:paraId="32124AA9" w14:textId="77777777" w:rsidR="007051DE" w:rsidRPr="00384075" w:rsidRDefault="007051DE" w:rsidP="0050365C">
            <w:pPr>
              <w:jc w:val="center"/>
              <w:rPr>
                <w:rFonts w:eastAsia="Calibri"/>
                <w:b/>
                <w:bCs/>
                <w:sz w:val="24"/>
                <w:szCs w:val="24"/>
                <w:lang w:val="pt-PT"/>
              </w:rPr>
            </w:pPr>
          </w:p>
          <w:p w14:paraId="02C6FD2E" w14:textId="77777777" w:rsidR="001E680B" w:rsidRPr="00384075" w:rsidRDefault="001E680B" w:rsidP="0050365C">
            <w:pPr>
              <w:jc w:val="center"/>
              <w:rPr>
                <w:rFonts w:eastAsia="Calibri"/>
                <w:b/>
                <w:bCs/>
                <w:sz w:val="24"/>
                <w:szCs w:val="24"/>
                <w:lang w:val="pt-PT"/>
              </w:rPr>
            </w:pPr>
          </w:p>
          <w:p w14:paraId="26EB81A3" w14:textId="77777777" w:rsidR="007051DE" w:rsidRPr="00384075" w:rsidRDefault="007051DE" w:rsidP="0050365C">
            <w:pPr>
              <w:jc w:val="center"/>
              <w:rPr>
                <w:rFonts w:eastAsia="Calibri"/>
                <w:b/>
                <w:bCs/>
                <w:sz w:val="24"/>
                <w:szCs w:val="24"/>
                <w:lang w:val="pt-PT"/>
              </w:rPr>
            </w:pPr>
          </w:p>
          <w:p w14:paraId="33D91F56" w14:textId="77777777" w:rsidR="009A121E" w:rsidRPr="00384075" w:rsidRDefault="009A121E" w:rsidP="0050365C">
            <w:pPr>
              <w:jc w:val="center"/>
              <w:rPr>
                <w:rFonts w:eastAsia="Calibri"/>
                <w:b/>
                <w:bCs/>
                <w:sz w:val="24"/>
                <w:szCs w:val="24"/>
                <w:lang w:val="pt-PT"/>
              </w:rPr>
            </w:pPr>
          </w:p>
          <w:p w14:paraId="2B93FDE9" w14:textId="77777777" w:rsidR="009A121E" w:rsidRPr="00384075" w:rsidRDefault="009A121E" w:rsidP="0050365C">
            <w:pPr>
              <w:jc w:val="center"/>
              <w:rPr>
                <w:rFonts w:eastAsia="Calibri"/>
                <w:b/>
                <w:bCs/>
                <w:sz w:val="24"/>
                <w:szCs w:val="24"/>
                <w:lang w:val="pt-PT"/>
              </w:rPr>
            </w:pPr>
          </w:p>
          <w:p w14:paraId="67809B0D" w14:textId="77777777" w:rsidR="009A121E" w:rsidRPr="00384075" w:rsidRDefault="009A121E" w:rsidP="0050365C">
            <w:pPr>
              <w:jc w:val="center"/>
              <w:rPr>
                <w:rFonts w:eastAsia="Calibri"/>
                <w:b/>
                <w:bCs/>
                <w:sz w:val="24"/>
                <w:szCs w:val="24"/>
                <w:lang w:val="pt-PT"/>
              </w:rPr>
            </w:pPr>
          </w:p>
          <w:p w14:paraId="4BC91F88" w14:textId="77777777" w:rsidR="00F14E33" w:rsidRPr="00384075" w:rsidRDefault="00F14E33" w:rsidP="0050365C">
            <w:pPr>
              <w:jc w:val="center"/>
              <w:rPr>
                <w:rFonts w:eastAsia="Calibri"/>
                <w:b/>
                <w:bCs/>
                <w:sz w:val="24"/>
                <w:szCs w:val="24"/>
                <w:lang w:val="pt-PT"/>
              </w:rPr>
            </w:pPr>
            <w:r w:rsidRPr="00384075">
              <w:rPr>
                <w:rFonts w:eastAsia="Calibri"/>
                <w:b/>
                <w:bCs/>
                <w:sz w:val="24"/>
                <w:szCs w:val="24"/>
                <w:lang w:val="pt-PT"/>
              </w:rPr>
              <w:t>MINISTRUL JUSTIȚIEI,</w:t>
            </w:r>
          </w:p>
          <w:p w14:paraId="7DCB8E20" w14:textId="77777777" w:rsidR="00F14E33" w:rsidRPr="00384075" w:rsidRDefault="00F14E33" w:rsidP="0050365C">
            <w:pPr>
              <w:jc w:val="center"/>
              <w:rPr>
                <w:rFonts w:eastAsia="Calibri"/>
                <w:b/>
                <w:bCs/>
                <w:sz w:val="24"/>
                <w:szCs w:val="24"/>
                <w:lang w:val="pt-PT"/>
              </w:rPr>
            </w:pPr>
            <w:r w:rsidRPr="00384075">
              <w:rPr>
                <w:rFonts w:eastAsia="Calibri"/>
                <w:b/>
                <w:bCs/>
                <w:sz w:val="24"/>
                <w:szCs w:val="24"/>
                <w:lang w:val="pt-PT"/>
              </w:rPr>
              <w:t xml:space="preserve">       </w:t>
            </w:r>
            <w:r w:rsidR="00311584" w:rsidRPr="00384075">
              <w:rPr>
                <w:rFonts w:eastAsia="Calibri"/>
                <w:b/>
                <w:bCs/>
                <w:sz w:val="24"/>
                <w:szCs w:val="24"/>
                <w:lang w:val="pt-PT"/>
              </w:rPr>
              <w:t>RADU MARINESCU</w:t>
            </w:r>
          </w:p>
        </w:tc>
      </w:tr>
    </w:tbl>
    <w:p w14:paraId="151FE050" w14:textId="77777777" w:rsidR="009D0475" w:rsidRPr="00384075" w:rsidRDefault="009D0475" w:rsidP="0050365C">
      <w:pPr>
        <w:autoSpaceDE w:val="0"/>
        <w:autoSpaceDN w:val="0"/>
        <w:adjustRightInd w:val="0"/>
        <w:jc w:val="both"/>
        <w:rPr>
          <w:sz w:val="24"/>
          <w:szCs w:val="24"/>
        </w:rPr>
      </w:pPr>
    </w:p>
    <w:sectPr w:rsidR="009D0475" w:rsidRPr="00384075" w:rsidSect="00802EA8">
      <w:headerReference w:type="even" r:id="rId9"/>
      <w:pgSz w:w="11906" w:h="16838" w:code="9"/>
      <w:pgMar w:top="567" w:right="1134" w:bottom="1134" w:left="1134" w:header="567" w:footer="567" w:gutter="0"/>
      <w:cols w:space="708"/>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A055" w14:textId="77777777" w:rsidR="005C71D2" w:rsidRDefault="005C71D2" w:rsidP="00A318A2">
      <w:r>
        <w:separator/>
      </w:r>
    </w:p>
  </w:endnote>
  <w:endnote w:type="continuationSeparator" w:id="0">
    <w:p w14:paraId="4A23EF60" w14:textId="77777777" w:rsidR="005C71D2" w:rsidRDefault="005C71D2" w:rsidP="00A3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8A50" w14:textId="77777777" w:rsidR="005C71D2" w:rsidRDefault="005C71D2" w:rsidP="00A318A2">
      <w:r>
        <w:separator/>
      </w:r>
    </w:p>
  </w:footnote>
  <w:footnote w:type="continuationSeparator" w:id="0">
    <w:p w14:paraId="29907D3F" w14:textId="77777777" w:rsidR="005C71D2" w:rsidRDefault="005C71D2" w:rsidP="00A3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FBF1" w14:textId="77777777" w:rsidR="00027A80" w:rsidRDefault="00027A80" w:rsidP="006C1F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9C5">
      <w:rPr>
        <w:rStyle w:val="PageNumber"/>
        <w:noProof/>
      </w:rPr>
      <w:t>7</w:t>
    </w:r>
    <w:r>
      <w:rPr>
        <w:rStyle w:val="PageNumber"/>
      </w:rPr>
      <w:fldChar w:fldCharType="end"/>
    </w:r>
  </w:p>
  <w:p w14:paraId="31884B55" w14:textId="77777777" w:rsidR="00027A80" w:rsidRDefault="00027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ADC"/>
    <w:multiLevelType w:val="hybridMultilevel"/>
    <w:tmpl w:val="E0DAA152"/>
    <w:lvl w:ilvl="0" w:tplc="04180017">
      <w:start w:val="1"/>
      <w:numFmt w:val="lowerLetter"/>
      <w:lvlText w:val="%1)"/>
      <w:lvlJc w:val="left"/>
      <w:pPr>
        <w:ind w:left="928" w:hanging="360"/>
      </w:p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15:restartNumberingAfterBreak="0">
    <w:nsid w:val="0260399B"/>
    <w:multiLevelType w:val="hybridMultilevel"/>
    <w:tmpl w:val="3BCC883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323365"/>
    <w:multiLevelType w:val="hybridMultilevel"/>
    <w:tmpl w:val="2E20E258"/>
    <w:lvl w:ilvl="0" w:tplc="B6765BE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686D58"/>
    <w:multiLevelType w:val="hybridMultilevel"/>
    <w:tmpl w:val="51FA4BE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183DB7"/>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0B7A73EA"/>
    <w:multiLevelType w:val="hybridMultilevel"/>
    <w:tmpl w:val="73F621B6"/>
    <w:lvl w:ilvl="0" w:tplc="66CAD54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0EFA52AF"/>
    <w:multiLevelType w:val="hybridMultilevel"/>
    <w:tmpl w:val="BB5C2778"/>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06532B1"/>
    <w:multiLevelType w:val="hybridMultilevel"/>
    <w:tmpl w:val="119E247E"/>
    <w:lvl w:ilvl="0" w:tplc="8D58DA16">
      <w:start w:val="1"/>
      <w:numFmt w:val="lowerLetter"/>
      <w:lvlText w:val="%1)"/>
      <w:lvlJc w:val="left"/>
      <w:pPr>
        <w:ind w:left="710" w:hanging="360"/>
      </w:pPr>
      <w:rPr>
        <w:rFonts w:ascii="Courier New" w:hAnsi="Courier New" w:cs="Courier New" w:hint="default"/>
        <w:color w:val="000000"/>
      </w:rPr>
    </w:lvl>
    <w:lvl w:ilvl="1" w:tplc="04180019" w:tentative="1">
      <w:start w:val="1"/>
      <w:numFmt w:val="lowerLetter"/>
      <w:lvlText w:val="%2."/>
      <w:lvlJc w:val="left"/>
      <w:pPr>
        <w:ind w:left="1430" w:hanging="360"/>
      </w:pPr>
    </w:lvl>
    <w:lvl w:ilvl="2" w:tplc="0418001B" w:tentative="1">
      <w:start w:val="1"/>
      <w:numFmt w:val="lowerRoman"/>
      <w:lvlText w:val="%3."/>
      <w:lvlJc w:val="right"/>
      <w:pPr>
        <w:ind w:left="2150" w:hanging="180"/>
      </w:pPr>
    </w:lvl>
    <w:lvl w:ilvl="3" w:tplc="0418000F" w:tentative="1">
      <w:start w:val="1"/>
      <w:numFmt w:val="decimal"/>
      <w:lvlText w:val="%4."/>
      <w:lvlJc w:val="left"/>
      <w:pPr>
        <w:ind w:left="2870" w:hanging="360"/>
      </w:pPr>
    </w:lvl>
    <w:lvl w:ilvl="4" w:tplc="04180019" w:tentative="1">
      <w:start w:val="1"/>
      <w:numFmt w:val="lowerLetter"/>
      <w:lvlText w:val="%5."/>
      <w:lvlJc w:val="left"/>
      <w:pPr>
        <w:ind w:left="3590" w:hanging="360"/>
      </w:pPr>
    </w:lvl>
    <w:lvl w:ilvl="5" w:tplc="0418001B" w:tentative="1">
      <w:start w:val="1"/>
      <w:numFmt w:val="lowerRoman"/>
      <w:lvlText w:val="%6."/>
      <w:lvlJc w:val="right"/>
      <w:pPr>
        <w:ind w:left="4310" w:hanging="180"/>
      </w:pPr>
    </w:lvl>
    <w:lvl w:ilvl="6" w:tplc="0418000F" w:tentative="1">
      <w:start w:val="1"/>
      <w:numFmt w:val="decimal"/>
      <w:lvlText w:val="%7."/>
      <w:lvlJc w:val="left"/>
      <w:pPr>
        <w:ind w:left="5030" w:hanging="360"/>
      </w:pPr>
    </w:lvl>
    <w:lvl w:ilvl="7" w:tplc="04180019" w:tentative="1">
      <w:start w:val="1"/>
      <w:numFmt w:val="lowerLetter"/>
      <w:lvlText w:val="%8."/>
      <w:lvlJc w:val="left"/>
      <w:pPr>
        <w:ind w:left="5750" w:hanging="360"/>
      </w:pPr>
    </w:lvl>
    <w:lvl w:ilvl="8" w:tplc="0418001B" w:tentative="1">
      <w:start w:val="1"/>
      <w:numFmt w:val="lowerRoman"/>
      <w:lvlText w:val="%9."/>
      <w:lvlJc w:val="right"/>
      <w:pPr>
        <w:ind w:left="6470" w:hanging="180"/>
      </w:pPr>
    </w:lvl>
  </w:abstractNum>
  <w:abstractNum w:abstractNumId="8" w15:restartNumberingAfterBreak="0">
    <w:nsid w:val="11FC2FAB"/>
    <w:multiLevelType w:val="hybridMultilevel"/>
    <w:tmpl w:val="E61A387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5043B0"/>
    <w:multiLevelType w:val="hybridMultilevel"/>
    <w:tmpl w:val="F850CDF0"/>
    <w:lvl w:ilvl="0" w:tplc="3B84BEFE">
      <w:start w:val="1"/>
      <w:numFmt w:val="decimal"/>
      <w:lvlText w:val="%1."/>
      <w:lvlJc w:val="left"/>
      <w:pPr>
        <w:tabs>
          <w:tab w:val="num" w:pos="360"/>
        </w:tabs>
        <w:ind w:left="360" w:hanging="360"/>
      </w:pPr>
      <w:rPr>
        <w:rFonts w:hint="default"/>
      </w:rPr>
    </w:lvl>
    <w:lvl w:ilvl="1" w:tplc="0F92D1D2">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5B027DE"/>
    <w:multiLevelType w:val="hybridMultilevel"/>
    <w:tmpl w:val="72187D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4F0307"/>
    <w:multiLevelType w:val="hybridMultilevel"/>
    <w:tmpl w:val="FD508B0E"/>
    <w:lvl w:ilvl="0" w:tplc="04180017">
      <w:start w:val="1"/>
      <w:numFmt w:val="lowerLetter"/>
      <w:lvlText w:val="%1)"/>
      <w:lvlJc w:val="left"/>
      <w:pPr>
        <w:ind w:left="360" w:hanging="360"/>
      </w:pPr>
    </w:lvl>
    <w:lvl w:ilvl="1" w:tplc="04180017">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90F3551"/>
    <w:multiLevelType w:val="hybridMultilevel"/>
    <w:tmpl w:val="D9124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D07522"/>
    <w:multiLevelType w:val="hybridMultilevel"/>
    <w:tmpl w:val="C188F70C"/>
    <w:lvl w:ilvl="0" w:tplc="0418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116713"/>
    <w:multiLevelType w:val="hybridMultilevel"/>
    <w:tmpl w:val="3EB2C0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5740D3"/>
    <w:multiLevelType w:val="hybridMultilevel"/>
    <w:tmpl w:val="188297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4AF5E4A"/>
    <w:multiLevelType w:val="multilevel"/>
    <w:tmpl w:val="2242BC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1A3AF4"/>
    <w:multiLevelType w:val="hybridMultilevel"/>
    <w:tmpl w:val="A6FA4C9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0594CEE"/>
    <w:multiLevelType w:val="hybridMultilevel"/>
    <w:tmpl w:val="12A6E772"/>
    <w:lvl w:ilvl="0" w:tplc="04180017">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2B66F6E"/>
    <w:multiLevelType w:val="hybridMultilevel"/>
    <w:tmpl w:val="39689754"/>
    <w:lvl w:ilvl="0" w:tplc="04180017">
      <w:start w:val="1"/>
      <w:numFmt w:val="lowerLetter"/>
      <w:lvlText w:val="%1)"/>
      <w:lvlJc w:val="left"/>
      <w:pPr>
        <w:ind w:left="710" w:hanging="360"/>
      </w:pPr>
    </w:lvl>
    <w:lvl w:ilvl="1" w:tplc="04180019" w:tentative="1">
      <w:start w:val="1"/>
      <w:numFmt w:val="lowerLetter"/>
      <w:lvlText w:val="%2."/>
      <w:lvlJc w:val="left"/>
      <w:pPr>
        <w:ind w:left="1430" w:hanging="360"/>
      </w:pPr>
    </w:lvl>
    <w:lvl w:ilvl="2" w:tplc="0418001B" w:tentative="1">
      <w:start w:val="1"/>
      <w:numFmt w:val="lowerRoman"/>
      <w:lvlText w:val="%3."/>
      <w:lvlJc w:val="right"/>
      <w:pPr>
        <w:ind w:left="2150" w:hanging="180"/>
      </w:pPr>
    </w:lvl>
    <w:lvl w:ilvl="3" w:tplc="0418000F" w:tentative="1">
      <w:start w:val="1"/>
      <w:numFmt w:val="decimal"/>
      <w:lvlText w:val="%4."/>
      <w:lvlJc w:val="left"/>
      <w:pPr>
        <w:ind w:left="2870" w:hanging="360"/>
      </w:pPr>
    </w:lvl>
    <w:lvl w:ilvl="4" w:tplc="04180019" w:tentative="1">
      <w:start w:val="1"/>
      <w:numFmt w:val="lowerLetter"/>
      <w:lvlText w:val="%5."/>
      <w:lvlJc w:val="left"/>
      <w:pPr>
        <w:ind w:left="3590" w:hanging="360"/>
      </w:pPr>
    </w:lvl>
    <w:lvl w:ilvl="5" w:tplc="0418001B" w:tentative="1">
      <w:start w:val="1"/>
      <w:numFmt w:val="lowerRoman"/>
      <w:lvlText w:val="%6."/>
      <w:lvlJc w:val="right"/>
      <w:pPr>
        <w:ind w:left="4310" w:hanging="180"/>
      </w:pPr>
    </w:lvl>
    <w:lvl w:ilvl="6" w:tplc="0418000F" w:tentative="1">
      <w:start w:val="1"/>
      <w:numFmt w:val="decimal"/>
      <w:lvlText w:val="%7."/>
      <w:lvlJc w:val="left"/>
      <w:pPr>
        <w:ind w:left="5030" w:hanging="360"/>
      </w:pPr>
    </w:lvl>
    <w:lvl w:ilvl="7" w:tplc="04180019" w:tentative="1">
      <w:start w:val="1"/>
      <w:numFmt w:val="lowerLetter"/>
      <w:lvlText w:val="%8."/>
      <w:lvlJc w:val="left"/>
      <w:pPr>
        <w:ind w:left="5750" w:hanging="360"/>
      </w:pPr>
    </w:lvl>
    <w:lvl w:ilvl="8" w:tplc="0418001B" w:tentative="1">
      <w:start w:val="1"/>
      <w:numFmt w:val="lowerRoman"/>
      <w:lvlText w:val="%9."/>
      <w:lvlJc w:val="right"/>
      <w:pPr>
        <w:ind w:left="6470" w:hanging="180"/>
      </w:pPr>
    </w:lvl>
  </w:abstractNum>
  <w:abstractNum w:abstractNumId="20" w15:restartNumberingAfterBreak="0">
    <w:nsid w:val="79092FC8"/>
    <w:multiLevelType w:val="hybridMultilevel"/>
    <w:tmpl w:val="747EA3E2"/>
    <w:lvl w:ilvl="0" w:tplc="FF1C7DA8">
      <w:start w:val="7"/>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84509031">
    <w:abstractNumId w:val="4"/>
  </w:num>
  <w:num w:numId="2" w16cid:durableId="279067948">
    <w:abstractNumId w:val="9"/>
  </w:num>
  <w:num w:numId="3" w16cid:durableId="161357401">
    <w:abstractNumId w:val="12"/>
  </w:num>
  <w:num w:numId="4" w16cid:durableId="1924954205">
    <w:abstractNumId w:val="2"/>
  </w:num>
  <w:num w:numId="5" w16cid:durableId="1387946224">
    <w:abstractNumId w:val="7"/>
  </w:num>
  <w:num w:numId="6" w16cid:durableId="822308910">
    <w:abstractNumId w:val="18"/>
  </w:num>
  <w:num w:numId="7" w16cid:durableId="1474786411">
    <w:abstractNumId w:val="15"/>
  </w:num>
  <w:num w:numId="8" w16cid:durableId="153186842">
    <w:abstractNumId w:val="13"/>
  </w:num>
  <w:num w:numId="9" w16cid:durableId="769280494">
    <w:abstractNumId w:val="5"/>
  </w:num>
  <w:num w:numId="10" w16cid:durableId="55587634">
    <w:abstractNumId w:val="14"/>
  </w:num>
  <w:num w:numId="11" w16cid:durableId="1413239017">
    <w:abstractNumId w:val="3"/>
  </w:num>
  <w:num w:numId="12" w16cid:durableId="786000542">
    <w:abstractNumId w:val="19"/>
  </w:num>
  <w:num w:numId="13" w16cid:durableId="2050915038">
    <w:abstractNumId w:val="6"/>
  </w:num>
  <w:num w:numId="14" w16cid:durableId="1498299542">
    <w:abstractNumId w:val="1"/>
  </w:num>
  <w:num w:numId="15" w16cid:durableId="118308299">
    <w:abstractNumId w:val="10"/>
  </w:num>
  <w:num w:numId="16" w16cid:durableId="1165631413">
    <w:abstractNumId w:val="8"/>
  </w:num>
  <w:num w:numId="17" w16cid:durableId="454908334">
    <w:abstractNumId w:val="0"/>
  </w:num>
  <w:num w:numId="18" w16cid:durableId="1056008331">
    <w:abstractNumId w:val="17"/>
  </w:num>
  <w:num w:numId="19" w16cid:durableId="1475293889">
    <w:abstractNumId w:val="11"/>
  </w:num>
  <w:num w:numId="20" w16cid:durableId="1491796675">
    <w:abstractNumId w:val="20"/>
  </w:num>
  <w:num w:numId="21" w16cid:durableId="875704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62"/>
    <w:rsid w:val="00024354"/>
    <w:rsid w:val="00027A80"/>
    <w:rsid w:val="0003363D"/>
    <w:rsid w:val="00040F0A"/>
    <w:rsid w:val="00043C40"/>
    <w:rsid w:val="00045D02"/>
    <w:rsid w:val="000504BF"/>
    <w:rsid w:val="00050FBE"/>
    <w:rsid w:val="000523E3"/>
    <w:rsid w:val="00070573"/>
    <w:rsid w:val="00075F03"/>
    <w:rsid w:val="00081B20"/>
    <w:rsid w:val="00093E40"/>
    <w:rsid w:val="00097424"/>
    <w:rsid w:val="00097FD8"/>
    <w:rsid w:val="000A4FA4"/>
    <w:rsid w:val="000B036A"/>
    <w:rsid w:val="000B577D"/>
    <w:rsid w:val="000C0952"/>
    <w:rsid w:val="000C4EAF"/>
    <w:rsid w:val="000D4BCA"/>
    <w:rsid w:val="000D5F6B"/>
    <w:rsid w:val="000E3791"/>
    <w:rsid w:val="000E5EBA"/>
    <w:rsid w:val="000E6C94"/>
    <w:rsid w:val="000F35E8"/>
    <w:rsid w:val="000F3693"/>
    <w:rsid w:val="001014FD"/>
    <w:rsid w:val="00104E44"/>
    <w:rsid w:val="00105B16"/>
    <w:rsid w:val="00111929"/>
    <w:rsid w:val="001157E6"/>
    <w:rsid w:val="00123FA4"/>
    <w:rsid w:val="00126F12"/>
    <w:rsid w:val="00133195"/>
    <w:rsid w:val="00135046"/>
    <w:rsid w:val="0014197F"/>
    <w:rsid w:val="00150570"/>
    <w:rsid w:val="00151D84"/>
    <w:rsid w:val="0016093B"/>
    <w:rsid w:val="00162720"/>
    <w:rsid w:val="00163891"/>
    <w:rsid w:val="0016705A"/>
    <w:rsid w:val="00167885"/>
    <w:rsid w:val="00173DD8"/>
    <w:rsid w:val="00174A92"/>
    <w:rsid w:val="00176004"/>
    <w:rsid w:val="0018021B"/>
    <w:rsid w:val="0019444D"/>
    <w:rsid w:val="001976BF"/>
    <w:rsid w:val="001A1DF5"/>
    <w:rsid w:val="001A247A"/>
    <w:rsid w:val="001A3A17"/>
    <w:rsid w:val="001A4B79"/>
    <w:rsid w:val="001B6D48"/>
    <w:rsid w:val="001C0E03"/>
    <w:rsid w:val="001C429F"/>
    <w:rsid w:val="001D3E72"/>
    <w:rsid w:val="001E680B"/>
    <w:rsid w:val="001F0E0E"/>
    <w:rsid w:val="001F1E7E"/>
    <w:rsid w:val="001F4DD9"/>
    <w:rsid w:val="00200184"/>
    <w:rsid w:val="00203007"/>
    <w:rsid w:val="002054BF"/>
    <w:rsid w:val="00205D41"/>
    <w:rsid w:val="0020712A"/>
    <w:rsid w:val="002108AA"/>
    <w:rsid w:val="00213659"/>
    <w:rsid w:val="00221804"/>
    <w:rsid w:val="002221E6"/>
    <w:rsid w:val="00223EAB"/>
    <w:rsid w:val="0023126E"/>
    <w:rsid w:val="0023491D"/>
    <w:rsid w:val="00236FE6"/>
    <w:rsid w:val="00242BD1"/>
    <w:rsid w:val="00243303"/>
    <w:rsid w:val="00244E6C"/>
    <w:rsid w:val="00251B26"/>
    <w:rsid w:val="00256006"/>
    <w:rsid w:val="002604B4"/>
    <w:rsid w:val="0026482A"/>
    <w:rsid w:val="00270421"/>
    <w:rsid w:val="0027317A"/>
    <w:rsid w:val="002732E0"/>
    <w:rsid w:val="00277CA1"/>
    <w:rsid w:val="00282D91"/>
    <w:rsid w:val="00291294"/>
    <w:rsid w:val="00297F3D"/>
    <w:rsid w:val="002A5B73"/>
    <w:rsid w:val="002B02E6"/>
    <w:rsid w:val="002B329F"/>
    <w:rsid w:val="002B3D02"/>
    <w:rsid w:val="002B3E90"/>
    <w:rsid w:val="002C1164"/>
    <w:rsid w:val="002C1DCD"/>
    <w:rsid w:val="002C1DDD"/>
    <w:rsid w:val="002C201B"/>
    <w:rsid w:val="002C3EB3"/>
    <w:rsid w:val="002D02C6"/>
    <w:rsid w:val="002D2ECB"/>
    <w:rsid w:val="002D62BC"/>
    <w:rsid w:val="002E0FF5"/>
    <w:rsid w:val="002F4B29"/>
    <w:rsid w:val="003008CE"/>
    <w:rsid w:val="003021F5"/>
    <w:rsid w:val="00304002"/>
    <w:rsid w:val="00311584"/>
    <w:rsid w:val="00311FA9"/>
    <w:rsid w:val="00313EDF"/>
    <w:rsid w:val="00317665"/>
    <w:rsid w:val="00331C88"/>
    <w:rsid w:val="00332132"/>
    <w:rsid w:val="003348F6"/>
    <w:rsid w:val="00336D2F"/>
    <w:rsid w:val="00337E3C"/>
    <w:rsid w:val="00343C4A"/>
    <w:rsid w:val="0034710D"/>
    <w:rsid w:val="00347A79"/>
    <w:rsid w:val="00354BEE"/>
    <w:rsid w:val="00362C4F"/>
    <w:rsid w:val="00363A54"/>
    <w:rsid w:val="0036477A"/>
    <w:rsid w:val="00367236"/>
    <w:rsid w:val="00367340"/>
    <w:rsid w:val="0037098D"/>
    <w:rsid w:val="0037140A"/>
    <w:rsid w:val="0037390A"/>
    <w:rsid w:val="00384075"/>
    <w:rsid w:val="00392B0F"/>
    <w:rsid w:val="00392CE8"/>
    <w:rsid w:val="0039418D"/>
    <w:rsid w:val="003B1CB3"/>
    <w:rsid w:val="003C4907"/>
    <w:rsid w:val="003D3B5E"/>
    <w:rsid w:val="003D5275"/>
    <w:rsid w:val="003E713B"/>
    <w:rsid w:val="003F27DD"/>
    <w:rsid w:val="003F4E20"/>
    <w:rsid w:val="00403B5F"/>
    <w:rsid w:val="00405334"/>
    <w:rsid w:val="004110BE"/>
    <w:rsid w:val="004300CC"/>
    <w:rsid w:val="0043372C"/>
    <w:rsid w:val="00450C3E"/>
    <w:rsid w:val="0046308D"/>
    <w:rsid w:val="004638A8"/>
    <w:rsid w:val="00467E96"/>
    <w:rsid w:val="004802F7"/>
    <w:rsid w:val="004860AE"/>
    <w:rsid w:val="00487068"/>
    <w:rsid w:val="00490AF3"/>
    <w:rsid w:val="00494A06"/>
    <w:rsid w:val="00495ED1"/>
    <w:rsid w:val="004A2A3E"/>
    <w:rsid w:val="004A2FC0"/>
    <w:rsid w:val="004A788A"/>
    <w:rsid w:val="004B0F62"/>
    <w:rsid w:val="004C0D5B"/>
    <w:rsid w:val="004C6286"/>
    <w:rsid w:val="004E5134"/>
    <w:rsid w:val="004E7B6C"/>
    <w:rsid w:val="0050187E"/>
    <w:rsid w:val="0050365C"/>
    <w:rsid w:val="005065E8"/>
    <w:rsid w:val="005171F0"/>
    <w:rsid w:val="00527578"/>
    <w:rsid w:val="00532484"/>
    <w:rsid w:val="00534A28"/>
    <w:rsid w:val="00535D99"/>
    <w:rsid w:val="00536E4E"/>
    <w:rsid w:val="005418EC"/>
    <w:rsid w:val="00543D0F"/>
    <w:rsid w:val="00545FDF"/>
    <w:rsid w:val="00546160"/>
    <w:rsid w:val="00546994"/>
    <w:rsid w:val="005502A1"/>
    <w:rsid w:val="00551B98"/>
    <w:rsid w:val="005526BC"/>
    <w:rsid w:val="00554D03"/>
    <w:rsid w:val="00557235"/>
    <w:rsid w:val="00557D62"/>
    <w:rsid w:val="00566E96"/>
    <w:rsid w:val="00574D01"/>
    <w:rsid w:val="00575263"/>
    <w:rsid w:val="00580BEC"/>
    <w:rsid w:val="00581CB1"/>
    <w:rsid w:val="00584443"/>
    <w:rsid w:val="005959EE"/>
    <w:rsid w:val="0059702F"/>
    <w:rsid w:val="00597367"/>
    <w:rsid w:val="005A1D9A"/>
    <w:rsid w:val="005B29E7"/>
    <w:rsid w:val="005C560C"/>
    <w:rsid w:val="005C71D2"/>
    <w:rsid w:val="005C7AD3"/>
    <w:rsid w:val="005D3143"/>
    <w:rsid w:val="005D5173"/>
    <w:rsid w:val="00601D53"/>
    <w:rsid w:val="0060321E"/>
    <w:rsid w:val="00606317"/>
    <w:rsid w:val="0061119D"/>
    <w:rsid w:val="006134CF"/>
    <w:rsid w:val="006206AE"/>
    <w:rsid w:val="00625CA0"/>
    <w:rsid w:val="0062674B"/>
    <w:rsid w:val="0064562C"/>
    <w:rsid w:val="006546C6"/>
    <w:rsid w:val="0065761A"/>
    <w:rsid w:val="00664439"/>
    <w:rsid w:val="00670078"/>
    <w:rsid w:val="006711DC"/>
    <w:rsid w:val="00672B46"/>
    <w:rsid w:val="006836F2"/>
    <w:rsid w:val="00685003"/>
    <w:rsid w:val="00686785"/>
    <w:rsid w:val="00687D77"/>
    <w:rsid w:val="00691125"/>
    <w:rsid w:val="0069246C"/>
    <w:rsid w:val="00693A51"/>
    <w:rsid w:val="00695102"/>
    <w:rsid w:val="006A0930"/>
    <w:rsid w:val="006A19AE"/>
    <w:rsid w:val="006A2003"/>
    <w:rsid w:val="006B17CC"/>
    <w:rsid w:val="006B182D"/>
    <w:rsid w:val="006B2E60"/>
    <w:rsid w:val="006B2F29"/>
    <w:rsid w:val="006B3D3B"/>
    <w:rsid w:val="006C1F75"/>
    <w:rsid w:val="006C4C4C"/>
    <w:rsid w:val="006D165E"/>
    <w:rsid w:val="006D28BB"/>
    <w:rsid w:val="006D6E03"/>
    <w:rsid w:val="006D78FD"/>
    <w:rsid w:val="006E0335"/>
    <w:rsid w:val="006E71A7"/>
    <w:rsid w:val="00704EDD"/>
    <w:rsid w:val="007051DE"/>
    <w:rsid w:val="00717013"/>
    <w:rsid w:val="00725765"/>
    <w:rsid w:val="00725F49"/>
    <w:rsid w:val="00727109"/>
    <w:rsid w:val="007327A2"/>
    <w:rsid w:val="00736299"/>
    <w:rsid w:val="00736383"/>
    <w:rsid w:val="0074174B"/>
    <w:rsid w:val="007439FA"/>
    <w:rsid w:val="00744548"/>
    <w:rsid w:val="007478FD"/>
    <w:rsid w:val="00753090"/>
    <w:rsid w:val="00755D7F"/>
    <w:rsid w:val="007600CC"/>
    <w:rsid w:val="00766463"/>
    <w:rsid w:val="00774839"/>
    <w:rsid w:val="00775035"/>
    <w:rsid w:val="007845D1"/>
    <w:rsid w:val="007862B0"/>
    <w:rsid w:val="007A515D"/>
    <w:rsid w:val="007A579A"/>
    <w:rsid w:val="007A6925"/>
    <w:rsid w:val="007A75F1"/>
    <w:rsid w:val="007B15F9"/>
    <w:rsid w:val="007B17C0"/>
    <w:rsid w:val="007C210A"/>
    <w:rsid w:val="007C3486"/>
    <w:rsid w:val="007C617D"/>
    <w:rsid w:val="007D3438"/>
    <w:rsid w:val="007E5E9F"/>
    <w:rsid w:val="007E7D51"/>
    <w:rsid w:val="007F13FB"/>
    <w:rsid w:val="007F2809"/>
    <w:rsid w:val="0080156D"/>
    <w:rsid w:val="00802CC1"/>
    <w:rsid w:val="00802EA8"/>
    <w:rsid w:val="00804B8B"/>
    <w:rsid w:val="0080770F"/>
    <w:rsid w:val="00814810"/>
    <w:rsid w:val="00814A2D"/>
    <w:rsid w:val="00821924"/>
    <w:rsid w:val="00821C3E"/>
    <w:rsid w:val="008249D5"/>
    <w:rsid w:val="008278C8"/>
    <w:rsid w:val="00844F28"/>
    <w:rsid w:val="00846C2A"/>
    <w:rsid w:val="0086182A"/>
    <w:rsid w:val="0087722D"/>
    <w:rsid w:val="00893255"/>
    <w:rsid w:val="008A18D6"/>
    <w:rsid w:val="008B2AF3"/>
    <w:rsid w:val="008B5C83"/>
    <w:rsid w:val="008C1656"/>
    <w:rsid w:val="008C3EDA"/>
    <w:rsid w:val="008F4B85"/>
    <w:rsid w:val="008F5107"/>
    <w:rsid w:val="008F7025"/>
    <w:rsid w:val="008F7590"/>
    <w:rsid w:val="00900D8D"/>
    <w:rsid w:val="0090349B"/>
    <w:rsid w:val="00907DDD"/>
    <w:rsid w:val="00913987"/>
    <w:rsid w:val="0092039D"/>
    <w:rsid w:val="00923451"/>
    <w:rsid w:val="00927796"/>
    <w:rsid w:val="009340A1"/>
    <w:rsid w:val="00935837"/>
    <w:rsid w:val="00936FF9"/>
    <w:rsid w:val="0093719B"/>
    <w:rsid w:val="00937948"/>
    <w:rsid w:val="00942A41"/>
    <w:rsid w:val="00945A42"/>
    <w:rsid w:val="00946CA7"/>
    <w:rsid w:val="00955A0E"/>
    <w:rsid w:val="0095698E"/>
    <w:rsid w:val="00957DF6"/>
    <w:rsid w:val="00964E23"/>
    <w:rsid w:val="009709C5"/>
    <w:rsid w:val="00970FC4"/>
    <w:rsid w:val="00976137"/>
    <w:rsid w:val="00984142"/>
    <w:rsid w:val="0098751C"/>
    <w:rsid w:val="00993305"/>
    <w:rsid w:val="009A121E"/>
    <w:rsid w:val="009A779A"/>
    <w:rsid w:val="009B1C31"/>
    <w:rsid w:val="009B290D"/>
    <w:rsid w:val="009C0BBD"/>
    <w:rsid w:val="009C3994"/>
    <w:rsid w:val="009C4396"/>
    <w:rsid w:val="009C7311"/>
    <w:rsid w:val="009D0475"/>
    <w:rsid w:val="009D3367"/>
    <w:rsid w:val="009D3A46"/>
    <w:rsid w:val="009D7AD9"/>
    <w:rsid w:val="009E4F2E"/>
    <w:rsid w:val="009F4EDD"/>
    <w:rsid w:val="009F729E"/>
    <w:rsid w:val="00A00BF4"/>
    <w:rsid w:val="00A02CD9"/>
    <w:rsid w:val="00A22AFC"/>
    <w:rsid w:val="00A25576"/>
    <w:rsid w:val="00A318A2"/>
    <w:rsid w:val="00A33C13"/>
    <w:rsid w:val="00A34423"/>
    <w:rsid w:val="00A410A5"/>
    <w:rsid w:val="00A425BC"/>
    <w:rsid w:val="00A456E3"/>
    <w:rsid w:val="00A521A5"/>
    <w:rsid w:val="00A62022"/>
    <w:rsid w:val="00A62EA6"/>
    <w:rsid w:val="00A66EEC"/>
    <w:rsid w:val="00A71079"/>
    <w:rsid w:val="00A80D47"/>
    <w:rsid w:val="00A824AB"/>
    <w:rsid w:val="00A83809"/>
    <w:rsid w:val="00A923B4"/>
    <w:rsid w:val="00A972A0"/>
    <w:rsid w:val="00A97685"/>
    <w:rsid w:val="00AA1D87"/>
    <w:rsid w:val="00AA6191"/>
    <w:rsid w:val="00AB01F0"/>
    <w:rsid w:val="00AB0C16"/>
    <w:rsid w:val="00AB3242"/>
    <w:rsid w:val="00AB4B37"/>
    <w:rsid w:val="00AB773F"/>
    <w:rsid w:val="00AC6986"/>
    <w:rsid w:val="00AC7E88"/>
    <w:rsid w:val="00AD5B54"/>
    <w:rsid w:val="00AD64D9"/>
    <w:rsid w:val="00AD76ED"/>
    <w:rsid w:val="00AD7ABC"/>
    <w:rsid w:val="00AE0893"/>
    <w:rsid w:val="00AE4CC9"/>
    <w:rsid w:val="00AF0345"/>
    <w:rsid w:val="00AF0F4E"/>
    <w:rsid w:val="00AF7A9A"/>
    <w:rsid w:val="00AF7D8A"/>
    <w:rsid w:val="00B004EE"/>
    <w:rsid w:val="00B06AC8"/>
    <w:rsid w:val="00B21A07"/>
    <w:rsid w:val="00B3522E"/>
    <w:rsid w:val="00B363E8"/>
    <w:rsid w:val="00B4465C"/>
    <w:rsid w:val="00B45AFD"/>
    <w:rsid w:val="00B4721A"/>
    <w:rsid w:val="00B5030B"/>
    <w:rsid w:val="00B62BF9"/>
    <w:rsid w:val="00B63514"/>
    <w:rsid w:val="00B63A38"/>
    <w:rsid w:val="00B6797F"/>
    <w:rsid w:val="00B67B4D"/>
    <w:rsid w:val="00B70B27"/>
    <w:rsid w:val="00B7159A"/>
    <w:rsid w:val="00B71A8F"/>
    <w:rsid w:val="00B74D7D"/>
    <w:rsid w:val="00B770AA"/>
    <w:rsid w:val="00B8342B"/>
    <w:rsid w:val="00B8387B"/>
    <w:rsid w:val="00B920EC"/>
    <w:rsid w:val="00B9516D"/>
    <w:rsid w:val="00B9522F"/>
    <w:rsid w:val="00B974C8"/>
    <w:rsid w:val="00BA04BD"/>
    <w:rsid w:val="00BA0FFE"/>
    <w:rsid w:val="00BB2C40"/>
    <w:rsid w:val="00BB3D2E"/>
    <w:rsid w:val="00BB4F79"/>
    <w:rsid w:val="00BC0F00"/>
    <w:rsid w:val="00BE27D5"/>
    <w:rsid w:val="00BF0193"/>
    <w:rsid w:val="00BF3862"/>
    <w:rsid w:val="00BF7714"/>
    <w:rsid w:val="00C02ABF"/>
    <w:rsid w:val="00C02D0A"/>
    <w:rsid w:val="00C04185"/>
    <w:rsid w:val="00C152F5"/>
    <w:rsid w:val="00C16624"/>
    <w:rsid w:val="00C234C9"/>
    <w:rsid w:val="00C405CE"/>
    <w:rsid w:val="00C47E26"/>
    <w:rsid w:val="00C5222E"/>
    <w:rsid w:val="00C61816"/>
    <w:rsid w:val="00C62265"/>
    <w:rsid w:val="00C70FA3"/>
    <w:rsid w:val="00C737DF"/>
    <w:rsid w:val="00C86BDB"/>
    <w:rsid w:val="00C87307"/>
    <w:rsid w:val="00C87826"/>
    <w:rsid w:val="00C9422A"/>
    <w:rsid w:val="00CB149A"/>
    <w:rsid w:val="00CB7A66"/>
    <w:rsid w:val="00CC12DF"/>
    <w:rsid w:val="00CC13EB"/>
    <w:rsid w:val="00CD0F83"/>
    <w:rsid w:val="00CD114E"/>
    <w:rsid w:val="00CD45BC"/>
    <w:rsid w:val="00CE38F2"/>
    <w:rsid w:val="00CE6FDA"/>
    <w:rsid w:val="00CF0214"/>
    <w:rsid w:val="00CF2B40"/>
    <w:rsid w:val="00CF5078"/>
    <w:rsid w:val="00CF5181"/>
    <w:rsid w:val="00CF7617"/>
    <w:rsid w:val="00CF7A1F"/>
    <w:rsid w:val="00CF7FCC"/>
    <w:rsid w:val="00D10E00"/>
    <w:rsid w:val="00D15300"/>
    <w:rsid w:val="00D1640D"/>
    <w:rsid w:val="00D23291"/>
    <w:rsid w:val="00D26B47"/>
    <w:rsid w:val="00D34F80"/>
    <w:rsid w:val="00D47ECA"/>
    <w:rsid w:val="00D50127"/>
    <w:rsid w:val="00D560A6"/>
    <w:rsid w:val="00D66EA6"/>
    <w:rsid w:val="00D67D91"/>
    <w:rsid w:val="00D7742B"/>
    <w:rsid w:val="00D82DAA"/>
    <w:rsid w:val="00D8696A"/>
    <w:rsid w:val="00D8704D"/>
    <w:rsid w:val="00D94528"/>
    <w:rsid w:val="00DA4205"/>
    <w:rsid w:val="00DA4891"/>
    <w:rsid w:val="00DA6CB2"/>
    <w:rsid w:val="00DB0167"/>
    <w:rsid w:val="00DB227F"/>
    <w:rsid w:val="00DB35D4"/>
    <w:rsid w:val="00DB5E6B"/>
    <w:rsid w:val="00DD10A8"/>
    <w:rsid w:val="00DD2711"/>
    <w:rsid w:val="00DD75B7"/>
    <w:rsid w:val="00DE12C0"/>
    <w:rsid w:val="00DE4F38"/>
    <w:rsid w:val="00DF609D"/>
    <w:rsid w:val="00E03E48"/>
    <w:rsid w:val="00E04C12"/>
    <w:rsid w:val="00E05737"/>
    <w:rsid w:val="00E100BC"/>
    <w:rsid w:val="00E11818"/>
    <w:rsid w:val="00E17B65"/>
    <w:rsid w:val="00E26F01"/>
    <w:rsid w:val="00E3142B"/>
    <w:rsid w:val="00E362D7"/>
    <w:rsid w:val="00E378A0"/>
    <w:rsid w:val="00E40838"/>
    <w:rsid w:val="00E416D8"/>
    <w:rsid w:val="00E52F35"/>
    <w:rsid w:val="00E6159A"/>
    <w:rsid w:val="00E6173F"/>
    <w:rsid w:val="00E62B2D"/>
    <w:rsid w:val="00E65EBE"/>
    <w:rsid w:val="00E74FDE"/>
    <w:rsid w:val="00E75CFF"/>
    <w:rsid w:val="00E83704"/>
    <w:rsid w:val="00E84220"/>
    <w:rsid w:val="00EA3EBA"/>
    <w:rsid w:val="00EA61C9"/>
    <w:rsid w:val="00EA666E"/>
    <w:rsid w:val="00EB750B"/>
    <w:rsid w:val="00EC2B25"/>
    <w:rsid w:val="00EC6E98"/>
    <w:rsid w:val="00ED15DE"/>
    <w:rsid w:val="00ED3FC6"/>
    <w:rsid w:val="00EF01EC"/>
    <w:rsid w:val="00EF0B15"/>
    <w:rsid w:val="00EF65CD"/>
    <w:rsid w:val="00F0498A"/>
    <w:rsid w:val="00F07709"/>
    <w:rsid w:val="00F11A64"/>
    <w:rsid w:val="00F125D8"/>
    <w:rsid w:val="00F14E33"/>
    <w:rsid w:val="00F15B6A"/>
    <w:rsid w:val="00F21ED7"/>
    <w:rsid w:val="00F30DAD"/>
    <w:rsid w:val="00F324E1"/>
    <w:rsid w:val="00F33289"/>
    <w:rsid w:val="00F34B2C"/>
    <w:rsid w:val="00F501DC"/>
    <w:rsid w:val="00F56AFA"/>
    <w:rsid w:val="00F65B52"/>
    <w:rsid w:val="00F71083"/>
    <w:rsid w:val="00F81094"/>
    <w:rsid w:val="00F82602"/>
    <w:rsid w:val="00F848C1"/>
    <w:rsid w:val="00F84BAF"/>
    <w:rsid w:val="00F84C7F"/>
    <w:rsid w:val="00F85AA3"/>
    <w:rsid w:val="00F915D9"/>
    <w:rsid w:val="00FA0FAC"/>
    <w:rsid w:val="00FA4695"/>
    <w:rsid w:val="00FA47DA"/>
    <w:rsid w:val="00FD3F54"/>
    <w:rsid w:val="00FE02E6"/>
    <w:rsid w:val="00FE4E03"/>
    <w:rsid w:val="00FF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CA340"/>
  <w15:docId w15:val="{FE3C8A74-EE0D-4799-84B3-CA578145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862"/>
    <w:rPr>
      <w:rFonts w:ascii="Times New Roman" w:eastAsia="Times New Roman" w:hAnsi="Times New Roman"/>
      <w:sz w:val="28"/>
      <w:szCs w:val="28"/>
      <w:lang w:val="ro-RO" w:eastAsia="ro-RO"/>
    </w:rPr>
  </w:style>
  <w:style w:type="paragraph" w:styleId="Heading1">
    <w:name w:val="heading 1"/>
    <w:basedOn w:val="Normal"/>
    <w:next w:val="Normal"/>
    <w:link w:val="Heading1Char"/>
    <w:uiPriority w:val="9"/>
    <w:qFormat/>
    <w:rsid w:val="00AF0F4E"/>
    <w:pPr>
      <w:keepNext/>
      <w:spacing w:before="240" w:after="60" w:line="276" w:lineRule="auto"/>
      <w:outlineLvl w:val="0"/>
    </w:pPr>
    <w:rPr>
      <w:rFonts w:ascii="Calibri Light" w:hAnsi="Calibri Light"/>
      <w:b/>
      <w:bCs/>
      <w:kern w:val="32"/>
      <w:sz w:val="32"/>
      <w:szCs w:val="32"/>
      <w:lang w:eastAsia="x-none"/>
    </w:rPr>
  </w:style>
  <w:style w:type="paragraph" w:styleId="Heading3">
    <w:name w:val="heading 3"/>
    <w:basedOn w:val="Normal"/>
    <w:next w:val="Normal"/>
    <w:link w:val="Heading3Char"/>
    <w:uiPriority w:val="9"/>
    <w:semiHidden/>
    <w:unhideWhenUsed/>
    <w:qFormat/>
    <w:rsid w:val="009A121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862"/>
    <w:pPr>
      <w:tabs>
        <w:tab w:val="center" w:pos="4536"/>
        <w:tab w:val="right" w:pos="9072"/>
      </w:tabs>
    </w:pPr>
  </w:style>
  <w:style w:type="character" w:customStyle="1" w:styleId="HeaderChar">
    <w:name w:val="Header Char"/>
    <w:link w:val="Header"/>
    <w:rsid w:val="00BF3862"/>
    <w:rPr>
      <w:rFonts w:ascii="Times New Roman" w:eastAsia="Times New Roman" w:hAnsi="Times New Roman" w:cs="Times New Roman"/>
      <w:sz w:val="28"/>
      <w:szCs w:val="28"/>
      <w:lang w:eastAsia="ro-RO"/>
    </w:rPr>
  </w:style>
  <w:style w:type="character" w:styleId="PageNumber">
    <w:name w:val="page number"/>
    <w:rsid w:val="00BF3862"/>
  </w:style>
  <w:style w:type="paragraph" w:styleId="Footer">
    <w:name w:val="footer"/>
    <w:basedOn w:val="Normal"/>
    <w:link w:val="FooterChar"/>
    <w:uiPriority w:val="99"/>
    <w:rsid w:val="00BF3862"/>
    <w:pPr>
      <w:tabs>
        <w:tab w:val="center" w:pos="4680"/>
        <w:tab w:val="right" w:pos="9360"/>
      </w:tabs>
    </w:pPr>
  </w:style>
  <w:style w:type="character" w:customStyle="1" w:styleId="FooterChar">
    <w:name w:val="Footer Char"/>
    <w:link w:val="Footer"/>
    <w:uiPriority w:val="99"/>
    <w:rsid w:val="00BF3862"/>
    <w:rPr>
      <w:rFonts w:ascii="Times New Roman" w:eastAsia="Times New Roman" w:hAnsi="Times New Roman" w:cs="Times New Roman"/>
      <w:sz w:val="28"/>
      <w:szCs w:val="28"/>
      <w:lang w:eastAsia="ro-RO"/>
    </w:rPr>
  </w:style>
  <w:style w:type="table" w:styleId="TableGrid">
    <w:name w:val="Table Grid"/>
    <w:basedOn w:val="TableNormal"/>
    <w:uiPriority w:val="59"/>
    <w:rsid w:val="0002435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C94"/>
    <w:rPr>
      <w:rFonts w:ascii="Tahoma" w:hAnsi="Tahoma" w:cs="Tahoma"/>
      <w:sz w:val="16"/>
      <w:szCs w:val="16"/>
    </w:rPr>
  </w:style>
  <w:style w:type="character" w:customStyle="1" w:styleId="BalloonTextChar">
    <w:name w:val="Balloon Text Char"/>
    <w:link w:val="BalloonText"/>
    <w:uiPriority w:val="99"/>
    <w:semiHidden/>
    <w:rsid w:val="000E6C94"/>
    <w:rPr>
      <w:rFonts w:ascii="Tahoma" w:eastAsia="Times New Roman" w:hAnsi="Tahoma" w:cs="Tahoma"/>
      <w:sz w:val="16"/>
      <w:szCs w:val="16"/>
    </w:rPr>
  </w:style>
  <w:style w:type="paragraph" w:styleId="ListParagraph">
    <w:name w:val="List Paragraph"/>
    <w:basedOn w:val="Normal"/>
    <w:uiPriority w:val="34"/>
    <w:qFormat/>
    <w:rsid w:val="00E416D8"/>
    <w:pPr>
      <w:ind w:left="720"/>
      <w:contextualSpacing/>
    </w:pPr>
  </w:style>
  <w:style w:type="paragraph" w:styleId="FootnoteText">
    <w:name w:val="footnote text"/>
    <w:basedOn w:val="Normal"/>
    <w:link w:val="FootnoteTextChar"/>
    <w:uiPriority w:val="99"/>
    <w:semiHidden/>
    <w:unhideWhenUsed/>
    <w:rsid w:val="00123FA4"/>
    <w:pPr>
      <w:spacing w:after="160" w:line="256" w:lineRule="auto"/>
    </w:pPr>
    <w:rPr>
      <w:rFonts w:ascii="Calibri" w:eastAsia="Calibri" w:hAnsi="Calibri"/>
      <w:sz w:val="20"/>
      <w:szCs w:val="20"/>
      <w:lang w:val="en-GB" w:eastAsia="en-US"/>
    </w:rPr>
  </w:style>
  <w:style w:type="character" w:customStyle="1" w:styleId="FootnoteTextChar">
    <w:name w:val="Footnote Text Char"/>
    <w:link w:val="FootnoteText"/>
    <w:uiPriority w:val="99"/>
    <w:semiHidden/>
    <w:rsid w:val="00123FA4"/>
    <w:rPr>
      <w:lang w:val="en-GB"/>
    </w:rPr>
  </w:style>
  <w:style w:type="character" w:styleId="FootnoteReference">
    <w:name w:val="footnote reference"/>
    <w:uiPriority w:val="99"/>
    <w:semiHidden/>
    <w:unhideWhenUsed/>
    <w:rsid w:val="00123FA4"/>
    <w:rPr>
      <w:vertAlign w:val="superscript"/>
    </w:rPr>
  </w:style>
  <w:style w:type="character" w:customStyle="1" w:styleId="Heading1Char">
    <w:name w:val="Heading 1 Char"/>
    <w:link w:val="Heading1"/>
    <w:uiPriority w:val="9"/>
    <w:rsid w:val="00AF0F4E"/>
    <w:rPr>
      <w:rFonts w:ascii="Calibri Light" w:eastAsia="Times New Roman" w:hAnsi="Calibri Light"/>
      <w:b/>
      <w:bCs/>
      <w:kern w:val="32"/>
      <w:sz w:val="32"/>
      <w:szCs w:val="32"/>
      <w:lang w:val="ro-RO" w:eastAsia="x-none"/>
    </w:rPr>
  </w:style>
  <w:style w:type="character" w:styleId="Strong">
    <w:name w:val="Strong"/>
    <w:uiPriority w:val="22"/>
    <w:qFormat/>
    <w:rsid w:val="00AF0F4E"/>
    <w:rPr>
      <w:rFonts w:ascii="Times New Roman" w:hAnsi="Times New Roman" w:cs="Times New Roman" w:hint="default"/>
      <w:b/>
      <w:bCs/>
    </w:rPr>
  </w:style>
  <w:style w:type="paragraph" w:styleId="NormalWeb">
    <w:name w:val="Normal (Web)"/>
    <w:basedOn w:val="Normal"/>
    <w:uiPriority w:val="99"/>
    <w:unhideWhenUsed/>
    <w:rsid w:val="00AF0F4E"/>
    <w:pPr>
      <w:spacing w:before="100" w:beforeAutospacing="1" w:after="100" w:afterAutospacing="1"/>
    </w:pPr>
    <w:rPr>
      <w:rFonts w:eastAsia="Calibri"/>
      <w:sz w:val="24"/>
      <w:szCs w:val="24"/>
      <w:lang w:val="en-US" w:eastAsia="en-US"/>
    </w:rPr>
  </w:style>
  <w:style w:type="paragraph" w:customStyle="1" w:styleId="TableParagraph">
    <w:name w:val="Table Paragraph"/>
    <w:basedOn w:val="Normal"/>
    <w:uiPriority w:val="1"/>
    <w:qFormat/>
    <w:rsid w:val="00A62022"/>
    <w:pPr>
      <w:widowControl w:val="0"/>
      <w:autoSpaceDE w:val="0"/>
      <w:autoSpaceDN w:val="0"/>
      <w:ind w:left="108"/>
    </w:pPr>
    <w:rPr>
      <w:sz w:val="22"/>
      <w:szCs w:val="22"/>
      <w:lang w:eastAsia="en-US"/>
    </w:rPr>
  </w:style>
  <w:style w:type="character" w:customStyle="1" w:styleId="l5def1">
    <w:name w:val="l5def1"/>
    <w:rsid w:val="00487068"/>
    <w:rPr>
      <w:rFonts w:ascii="Arial" w:hAnsi="Arial" w:cs="Arial" w:hint="default"/>
      <w:color w:val="000000"/>
      <w:sz w:val="26"/>
      <w:szCs w:val="26"/>
    </w:rPr>
  </w:style>
  <w:style w:type="character" w:customStyle="1" w:styleId="l5def">
    <w:name w:val="l5def"/>
    <w:basedOn w:val="DefaultParagraphFont"/>
    <w:rsid w:val="00487068"/>
  </w:style>
  <w:style w:type="character" w:customStyle="1" w:styleId="l5tlu1">
    <w:name w:val="l5tlu1"/>
    <w:rsid w:val="00487068"/>
    <w:rPr>
      <w:b/>
      <w:bCs/>
      <w:color w:val="000000"/>
      <w:sz w:val="32"/>
      <w:szCs w:val="32"/>
    </w:rPr>
  </w:style>
  <w:style w:type="character" w:styleId="Hyperlink">
    <w:name w:val="Hyperlink"/>
    <w:uiPriority w:val="99"/>
    <w:unhideWhenUsed/>
    <w:rsid w:val="00487068"/>
    <w:rPr>
      <w:color w:val="0000FF"/>
      <w:u w:val="single"/>
    </w:rPr>
  </w:style>
  <w:style w:type="character" w:customStyle="1" w:styleId="Heading3Char">
    <w:name w:val="Heading 3 Char"/>
    <w:link w:val="Heading3"/>
    <w:uiPriority w:val="9"/>
    <w:semiHidden/>
    <w:rsid w:val="009A121E"/>
    <w:rPr>
      <w:rFonts w:ascii="Calibri Light" w:eastAsia="Times New Roman" w:hAnsi="Calibri Light" w:cs="Times New Roman"/>
      <w:b/>
      <w:bCs/>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281">
      <w:bodyDiv w:val="1"/>
      <w:marLeft w:val="0"/>
      <w:marRight w:val="0"/>
      <w:marTop w:val="0"/>
      <w:marBottom w:val="0"/>
      <w:divBdr>
        <w:top w:val="none" w:sz="0" w:space="0" w:color="auto"/>
        <w:left w:val="none" w:sz="0" w:space="0" w:color="auto"/>
        <w:bottom w:val="none" w:sz="0" w:space="0" w:color="auto"/>
        <w:right w:val="none" w:sz="0" w:space="0" w:color="auto"/>
      </w:divBdr>
    </w:div>
    <w:div w:id="216667346">
      <w:bodyDiv w:val="1"/>
      <w:marLeft w:val="0"/>
      <w:marRight w:val="0"/>
      <w:marTop w:val="0"/>
      <w:marBottom w:val="0"/>
      <w:divBdr>
        <w:top w:val="none" w:sz="0" w:space="0" w:color="auto"/>
        <w:left w:val="none" w:sz="0" w:space="0" w:color="auto"/>
        <w:bottom w:val="none" w:sz="0" w:space="0" w:color="auto"/>
        <w:right w:val="none" w:sz="0" w:space="0" w:color="auto"/>
      </w:divBdr>
    </w:div>
    <w:div w:id="338585371">
      <w:bodyDiv w:val="1"/>
      <w:marLeft w:val="0"/>
      <w:marRight w:val="0"/>
      <w:marTop w:val="0"/>
      <w:marBottom w:val="0"/>
      <w:divBdr>
        <w:top w:val="none" w:sz="0" w:space="0" w:color="auto"/>
        <w:left w:val="none" w:sz="0" w:space="0" w:color="auto"/>
        <w:bottom w:val="none" w:sz="0" w:space="0" w:color="auto"/>
        <w:right w:val="none" w:sz="0" w:space="0" w:color="auto"/>
      </w:divBdr>
      <w:divsChild>
        <w:div w:id="1127312621">
          <w:marLeft w:val="0"/>
          <w:marRight w:val="0"/>
          <w:marTop w:val="0"/>
          <w:marBottom w:val="0"/>
          <w:divBdr>
            <w:top w:val="none" w:sz="0" w:space="0" w:color="auto"/>
            <w:left w:val="none" w:sz="0" w:space="0" w:color="auto"/>
            <w:bottom w:val="none" w:sz="0" w:space="0" w:color="auto"/>
            <w:right w:val="none" w:sz="0" w:space="0" w:color="auto"/>
          </w:divBdr>
        </w:div>
      </w:divsChild>
    </w:div>
    <w:div w:id="584607312">
      <w:bodyDiv w:val="1"/>
      <w:marLeft w:val="0"/>
      <w:marRight w:val="0"/>
      <w:marTop w:val="0"/>
      <w:marBottom w:val="0"/>
      <w:divBdr>
        <w:top w:val="none" w:sz="0" w:space="0" w:color="auto"/>
        <w:left w:val="none" w:sz="0" w:space="0" w:color="auto"/>
        <w:bottom w:val="none" w:sz="0" w:space="0" w:color="auto"/>
        <w:right w:val="none" w:sz="0" w:space="0" w:color="auto"/>
      </w:divBdr>
    </w:div>
    <w:div w:id="792669557">
      <w:bodyDiv w:val="1"/>
      <w:marLeft w:val="0"/>
      <w:marRight w:val="0"/>
      <w:marTop w:val="0"/>
      <w:marBottom w:val="0"/>
      <w:divBdr>
        <w:top w:val="none" w:sz="0" w:space="0" w:color="auto"/>
        <w:left w:val="none" w:sz="0" w:space="0" w:color="auto"/>
        <w:bottom w:val="none" w:sz="0" w:space="0" w:color="auto"/>
        <w:right w:val="none" w:sz="0" w:space="0" w:color="auto"/>
      </w:divBdr>
    </w:div>
    <w:div w:id="853540868">
      <w:bodyDiv w:val="1"/>
      <w:marLeft w:val="0"/>
      <w:marRight w:val="0"/>
      <w:marTop w:val="0"/>
      <w:marBottom w:val="0"/>
      <w:divBdr>
        <w:top w:val="none" w:sz="0" w:space="0" w:color="auto"/>
        <w:left w:val="none" w:sz="0" w:space="0" w:color="auto"/>
        <w:bottom w:val="none" w:sz="0" w:space="0" w:color="auto"/>
        <w:right w:val="none" w:sz="0" w:space="0" w:color="auto"/>
      </w:divBdr>
    </w:div>
    <w:div w:id="952979354">
      <w:bodyDiv w:val="1"/>
      <w:marLeft w:val="0"/>
      <w:marRight w:val="0"/>
      <w:marTop w:val="0"/>
      <w:marBottom w:val="0"/>
      <w:divBdr>
        <w:top w:val="none" w:sz="0" w:space="0" w:color="auto"/>
        <w:left w:val="none" w:sz="0" w:space="0" w:color="auto"/>
        <w:bottom w:val="none" w:sz="0" w:space="0" w:color="auto"/>
        <w:right w:val="none" w:sz="0" w:space="0" w:color="auto"/>
      </w:divBdr>
      <w:divsChild>
        <w:div w:id="961420764">
          <w:marLeft w:val="0"/>
          <w:marRight w:val="0"/>
          <w:marTop w:val="0"/>
          <w:marBottom w:val="0"/>
          <w:divBdr>
            <w:top w:val="none" w:sz="0" w:space="0" w:color="auto"/>
            <w:left w:val="none" w:sz="0" w:space="0" w:color="auto"/>
            <w:bottom w:val="none" w:sz="0" w:space="0" w:color="auto"/>
            <w:right w:val="none" w:sz="0" w:space="0" w:color="auto"/>
          </w:divBdr>
        </w:div>
      </w:divsChild>
    </w:div>
    <w:div w:id="989097148">
      <w:bodyDiv w:val="1"/>
      <w:marLeft w:val="0"/>
      <w:marRight w:val="0"/>
      <w:marTop w:val="0"/>
      <w:marBottom w:val="0"/>
      <w:divBdr>
        <w:top w:val="none" w:sz="0" w:space="0" w:color="auto"/>
        <w:left w:val="none" w:sz="0" w:space="0" w:color="auto"/>
        <w:bottom w:val="none" w:sz="0" w:space="0" w:color="auto"/>
        <w:right w:val="none" w:sz="0" w:space="0" w:color="auto"/>
      </w:divBdr>
    </w:div>
    <w:div w:id="1183014089">
      <w:bodyDiv w:val="1"/>
      <w:marLeft w:val="0"/>
      <w:marRight w:val="0"/>
      <w:marTop w:val="0"/>
      <w:marBottom w:val="0"/>
      <w:divBdr>
        <w:top w:val="none" w:sz="0" w:space="0" w:color="auto"/>
        <w:left w:val="none" w:sz="0" w:space="0" w:color="auto"/>
        <w:bottom w:val="none" w:sz="0" w:space="0" w:color="auto"/>
        <w:right w:val="none" w:sz="0" w:space="0" w:color="auto"/>
      </w:divBdr>
    </w:div>
    <w:div w:id="1365597570">
      <w:bodyDiv w:val="1"/>
      <w:marLeft w:val="0"/>
      <w:marRight w:val="0"/>
      <w:marTop w:val="0"/>
      <w:marBottom w:val="0"/>
      <w:divBdr>
        <w:top w:val="none" w:sz="0" w:space="0" w:color="auto"/>
        <w:left w:val="none" w:sz="0" w:space="0" w:color="auto"/>
        <w:bottom w:val="none" w:sz="0" w:space="0" w:color="auto"/>
        <w:right w:val="none" w:sz="0" w:space="0" w:color="auto"/>
      </w:divBdr>
      <w:divsChild>
        <w:div w:id="833883058">
          <w:marLeft w:val="0"/>
          <w:marRight w:val="0"/>
          <w:marTop w:val="0"/>
          <w:marBottom w:val="0"/>
          <w:divBdr>
            <w:top w:val="none" w:sz="0" w:space="0" w:color="auto"/>
            <w:left w:val="none" w:sz="0" w:space="0" w:color="auto"/>
            <w:bottom w:val="none" w:sz="0" w:space="0" w:color="auto"/>
            <w:right w:val="none" w:sz="0" w:space="0" w:color="auto"/>
          </w:divBdr>
        </w:div>
      </w:divsChild>
    </w:div>
    <w:div w:id="16446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ro/ro/guvernul/cabinetul-de-ministri/viceprim-ministru-ministru-ministerul-finantel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B0A4-8B5B-41E9-AC69-4AC3B765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6208</Words>
  <Characters>35391</Characters>
  <Application>Microsoft Office Word</Application>
  <DocSecurity>0</DocSecurity>
  <Lines>294</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41516</CharactersWithSpaces>
  <SharedDoc>false</SharedDoc>
  <HLinks>
    <vt:vector size="6" baseType="variant">
      <vt:variant>
        <vt:i4>5898311</vt:i4>
      </vt:variant>
      <vt:variant>
        <vt:i4>0</vt:i4>
      </vt:variant>
      <vt:variant>
        <vt:i4>0</vt:i4>
      </vt:variant>
      <vt:variant>
        <vt:i4>5</vt:i4>
      </vt:variant>
      <vt:variant>
        <vt:lpwstr>https://gov.ro/ro/guvernul/cabinetul-de-ministri/viceprim-ministru-ministru-ministerul-finantelor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Chesa</dc:creator>
  <cp:keywords/>
  <cp:lastModifiedBy>user</cp:lastModifiedBy>
  <cp:revision>6</cp:revision>
  <cp:lastPrinted>2025-12-10T07:49:00Z</cp:lastPrinted>
  <dcterms:created xsi:type="dcterms:W3CDTF">2025-11-27T10:21:00Z</dcterms:created>
  <dcterms:modified xsi:type="dcterms:W3CDTF">2026-01-21T17:31:00Z</dcterms:modified>
</cp:coreProperties>
</file>