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87B" w14:textId="77777777" w:rsidR="00DE4486" w:rsidRPr="00A05D59" w:rsidRDefault="00DE4486" w:rsidP="00EB11B3">
      <w:pPr>
        <w:rPr>
          <w:b/>
          <w:snapToGrid w:val="0"/>
          <w:sz w:val="24"/>
          <w:szCs w:val="24"/>
          <w:lang w:eastAsia="en-US"/>
        </w:rPr>
      </w:pPr>
    </w:p>
    <w:p w14:paraId="5659ED91" w14:textId="77777777" w:rsidR="00DE4486" w:rsidRPr="00A05D59" w:rsidRDefault="00DE4486" w:rsidP="00DE4486">
      <w:pPr>
        <w:jc w:val="center"/>
        <w:rPr>
          <w:b/>
          <w:snapToGrid w:val="0"/>
          <w:sz w:val="24"/>
          <w:szCs w:val="24"/>
          <w:lang w:eastAsia="en-US"/>
        </w:rPr>
      </w:pPr>
    </w:p>
    <w:p w14:paraId="52FBA712" w14:textId="77777777" w:rsidR="00E5575B" w:rsidRPr="00A05D59" w:rsidRDefault="00133195" w:rsidP="00DE4486">
      <w:pPr>
        <w:jc w:val="center"/>
        <w:rPr>
          <w:b/>
          <w:snapToGrid w:val="0"/>
          <w:sz w:val="24"/>
          <w:szCs w:val="24"/>
          <w:lang w:eastAsia="en-US"/>
        </w:rPr>
      </w:pPr>
      <w:r w:rsidRPr="00A05D59">
        <w:rPr>
          <w:b/>
          <w:snapToGrid w:val="0"/>
          <w:sz w:val="24"/>
          <w:szCs w:val="24"/>
          <w:lang w:eastAsia="en-US"/>
        </w:rPr>
        <w:t>EXPUNERE DE MOTIVE</w:t>
      </w:r>
    </w:p>
    <w:p w14:paraId="1B453DC0" w14:textId="77777777" w:rsidR="00DE4486" w:rsidRPr="00A05D59" w:rsidRDefault="00DE4486" w:rsidP="00DE4486">
      <w:pPr>
        <w:jc w:val="center"/>
        <w:rPr>
          <w:sz w:val="24"/>
          <w:szCs w:val="24"/>
        </w:rPr>
      </w:pPr>
    </w:p>
    <w:p w14:paraId="4A5EAAEB" w14:textId="77777777" w:rsidR="00DE4486" w:rsidRPr="00A05D59" w:rsidRDefault="00DE4486" w:rsidP="00DE4486">
      <w:pPr>
        <w:jc w:val="center"/>
        <w:rPr>
          <w:sz w:val="24"/>
          <w:szCs w:val="24"/>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888"/>
        <w:gridCol w:w="859"/>
        <w:gridCol w:w="971"/>
        <w:gridCol w:w="859"/>
        <w:gridCol w:w="799"/>
        <w:gridCol w:w="1044"/>
        <w:gridCol w:w="27"/>
      </w:tblGrid>
      <w:tr w:rsidR="00AB3242" w:rsidRPr="00A05D59" w14:paraId="11DDBD40" w14:textId="77777777" w:rsidTr="00D47ECA">
        <w:trPr>
          <w:gridAfter w:val="1"/>
          <w:wAfter w:w="27" w:type="dxa"/>
          <w:trHeight w:val="1542"/>
          <w:jc w:val="center"/>
        </w:trPr>
        <w:tc>
          <w:tcPr>
            <w:tcW w:w="10335" w:type="dxa"/>
            <w:gridSpan w:val="7"/>
          </w:tcPr>
          <w:p w14:paraId="2CCFCDBE" w14:textId="77777777" w:rsidR="00BF3862" w:rsidRPr="00A05D59" w:rsidRDefault="00BF3862" w:rsidP="00D81EF2">
            <w:pPr>
              <w:keepNext/>
              <w:tabs>
                <w:tab w:val="left" w:pos="0"/>
              </w:tabs>
              <w:jc w:val="center"/>
              <w:outlineLvl w:val="8"/>
              <w:rPr>
                <w:b/>
                <w:sz w:val="24"/>
                <w:szCs w:val="24"/>
                <w:lang w:eastAsia="en-US"/>
              </w:rPr>
            </w:pPr>
            <w:r w:rsidRPr="00A05D59">
              <w:rPr>
                <w:b/>
                <w:sz w:val="24"/>
                <w:szCs w:val="24"/>
                <w:lang w:eastAsia="en-US"/>
              </w:rPr>
              <w:t>Sec</w:t>
            </w:r>
            <w:r w:rsidR="00EB750B" w:rsidRPr="00A05D59">
              <w:rPr>
                <w:b/>
                <w:sz w:val="24"/>
                <w:szCs w:val="24"/>
                <w:lang w:eastAsia="en-US"/>
              </w:rPr>
              <w:t>ț</w:t>
            </w:r>
            <w:r w:rsidRPr="00A05D59">
              <w:rPr>
                <w:b/>
                <w:sz w:val="24"/>
                <w:szCs w:val="24"/>
                <w:lang w:eastAsia="en-US"/>
              </w:rPr>
              <w:t xml:space="preserve">iunea 1 </w:t>
            </w:r>
          </w:p>
          <w:p w14:paraId="3B14B9BB" w14:textId="77777777" w:rsidR="00BF3862" w:rsidRPr="00A05D59" w:rsidRDefault="00BF3862" w:rsidP="00D81EF2">
            <w:pPr>
              <w:keepNext/>
              <w:tabs>
                <w:tab w:val="left" w:pos="0"/>
              </w:tabs>
              <w:jc w:val="center"/>
              <w:outlineLvl w:val="8"/>
              <w:rPr>
                <w:b/>
                <w:sz w:val="24"/>
                <w:szCs w:val="24"/>
                <w:lang w:eastAsia="en-US"/>
              </w:rPr>
            </w:pPr>
            <w:r w:rsidRPr="00A05D59">
              <w:rPr>
                <w:b/>
                <w:sz w:val="24"/>
                <w:szCs w:val="24"/>
                <w:lang w:eastAsia="en-US"/>
              </w:rPr>
              <w:t>Titlul actului normativ</w:t>
            </w:r>
          </w:p>
          <w:p w14:paraId="25260E41" w14:textId="77777777" w:rsidR="00DE4486" w:rsidRPr="00A05D59" w:rsidRDefault="00DE4486" w:rsidP="00DE4486">
            <w:pPr>
              <w:jc w:val="center"/>
              <w:rPr>
                <w:b/>
                <w:bCs/>
                <w:sz w:val="24"/>
                <w:szCs w:val="24"/>
              </w:rPr>
            </w:pPr>
          </w:p>
          <w:p w14:paraId="3FFDACDA" w14:textId="77777777" w:rsidR="008B5C83" w:rsidRPr="00A05D59" w:rsidRDefault="008B5C83" w:rsidP="00DE4486">
            <w:pPr>
              <w:jc w:val="center"/>
              <w:rPr>
                <w:b/>
                <w:bCs/>
                <w:sz w:val="24"/>
                <w:szCs w:val="24"/>
              </w:rPr>
            </w:pPr>
            <w:r w:rsidRPr="00A05D59">
              <w:rPr>
                <w:b/>
                <w:bCs/>
                <w:sz w:val="24"/>
                <w:szCs w:val="24"/>
              </w:rPr>
              <w:t>Lege</w:t>
            </w:r>
          </w:p>
          <w:p w14:paraId="01DD0DDA" w14:textId="77777777" w:rsidR="00C373BF" w:rsidRPr="00A05D59" w:rsidRDefault="00C373BF" w:rsidP="00C373BF">
            <w:pPr>
              <w:jc w:val="center"/>
              <w:rPr>
                <w:b/>
                <w:bCs/>
                <w:sz w:val="24"/>
                <w:szCs w:val="24"/>
              </w:rPr>
            </w:pPr>
            <w:r w:rsidRPr="00A05D59">
              <w:rPr>
                <w:b/>
                <w:bCs/>
                <w:sz w:val="24"/>
                <w:szCs w:val="24"/>
              </w:rPr>
              <w:t>privind normele comune de promovare a reparării bunurilor și de modificare a unor acte normative în domeniul protecției consumatorilor</w:t>
            </w:r>
          </w:p>
          <w:p w14:paraId="186911D4" w14:textId="77777777" w:rsidR="00DE4486" w:rsidRPr="00A05D59" w:rsidRDefault="00C373BF" w:rsidP="00C373BF">
            <w:pPr>
              <w:jc w:val="center"/>
              <w:rPr>
                <w:sz w:val="24"/>
                <w:szCs w:val="24"/>
                <w:lang w:eastAsia="en-US"/>
              </w:rPr>
            </w:pPr>
            <w:r w:rsidRPr="00A05D59">
              <w:rPr>
                <w:b/>
                <w:bCs/>
                <w:sz w:val="24"/>
                <w:szCs w:val="24"/>
              </w:rPr>
              <w:t xml:space="preserve"> </w:t>
            </w:r>
          </w:p>
        </w:tc>
      </w:tr>
      <w:tr w:rsidR="00AB3242" w:rsidRPr="00A05D59" w14:paraId="4C4D11DD" w14:textId="77777777" w:rsidTr="00D47ECA">
        <w:trPr>
          <w:gridAfter w:val="1"/>
          <w:wAfter w:w="27" w:type="dxa"/>
          <w:jc w:val="center"/>
        </w:trPr>
        <w:tc>
          <w:tcPr>
            <w:tcW w:w="10335" w:type="dxa"/>
            <w:gridSpan w:val="7"/>
          </w:tcPr>
          <w:p w14:paraId="02B1F275" w14:textId="77777777" w:rsidR="00BF3862" w:rsidRPr="00A05D59" w:rsidRDefault="00BF3862" w:rsidP="00D81EF2">
            <w:pPr>
              <w:jc w:val="center"/>
              <w:rPr>
                <w:b/>
                <w:sz w:val="24"/>
                <w:szCs w:val="24"/>
                <w:lang w:eastAsia="en-US"/>
              </w:rPr>
            </w:pPr>
            <w:r w:rsidRPr="00A05D59">
              <w:rPr>
                <w:b/>
                <w:sz w:val="24"/>
                <w:szCs w:val="24"/>
                <w:lang w:eastAsia="en-US"/>
              </w:rPr>
              <w:t>Sec</w:t>
            </w:r>
            <w:r w:rsidR="00EB750B" w:rsidRPr="00A05D59">
              <w:rPr>
                <w:b/>
                <w:sz w:val="24"/>
                <w:szCs w:val="24"/>
                <w:lang w:eastAsia="en-US"/>
              </w:rPr>
              <w:t>ț</w:t>
            </w:r>
            <w:r w:rsidRPr="00A05D59">
              <w:rPr>
                <w:b/>
                <w:sz w:val="24"/>
                <w:szCs w:val="24"/>
                <w:lang w:eastAsia="en-US"/>
              </w:rPr>
              <w:t>iunea a 2 –a</w:t>
            </w:r>
          </w:p>
          <w:p w14:paraId="7FAF1A70" w14:textId="77777777" w:rsidR="00685003" w:rsidRPr="00A05D59" w:rsidRDefault="00BF3862" w:rsidP="00E5575B">
            <w:pPr>
              <w:jc w:val="center"/>
              <w:rPr>
                <w:b/>
                <w:sz w:val="24"/>
                <w:szCs w:val="24"/>
                <w:lang w:eastAsia="en-US"/>
              </w:rPr>
            </w:pPr>
            <w:r w:rsidRPr="00A05D59">
              <w:rPr>
                <w:b/>
                <w:sz w:val="24"/>
                <w:szCs w:val="24"/>
                <w:lang w:eastAsia="en-US"/>
              </w:rPr>
              <w:t>Motivul emiterii actului normativ</w:t>
            </w:r>
          </w:p>
          <w:p w14:paraId="7B9633C5" w14:textId="77777777" w:rsidR="00DE4486" w:rsidRPr="00A05D59" w:rsidRDefault="00DE4486" w:rsidP="00E5575B">
            <w:pPr>
              <w:jc w:val="center"/>
              <w:rPr>
                <w:b/>
                <w:sz w:val="24"/>
                <w:szCs w:val="24"/>
                <w:lang w:eastAsia="en-US"/>
              </w:rPr>
            </w:pPr>
          </w:p>
        </w:tc>
      </w:tr>
      <w:tr w:rsidR="00A62022" w:rsidRPr="00A05D59" w14:paraId="16931B21" w14:textId="77777777" w:rsidTr="00D47ECA">
        <w:trPr>
          <w:gridAfter w:val="1"/>
          <w:wAfter w:w="27" w:type="dxa"/>
          <w:jc w:val="center"/>
        </w:trPr>
        <w:tc>
          <w:tcPr>
            <w:tcW w:w="10335" w:type="dxa"/>
            <w:gridSpan w:val="7"/>
          </w:tcPr>
          <w:p w14:paraId="43B32A85" w14:textId="77777777" w:rsidR="00B8342B" w:rsidRPr="00A05D59" w:rsidRDefault="00A62022" w:rsidP="00D81EF2">
            <w:pPr>
              <w:spacing w:before="120" w:after="120"/>
              <w:rPr>
                <w:b/>
                <w:bCs/>
                <w:sz w:val="24"/>
                <w:szCs w:val="24"/>
                <w:lang w:eastAsia="en-US"/>
              </w:rPr>
            </w:pPr>
            <w:r w:rsidRPr="00A05D59">
              <w:rPr>
                <w:b/>
                <w:bCs/>
                <w:sz w:val="24"/>
                <w:szCs w:val="24"/>
                <w:lang w:eastAsia="en-US"/>
              </w:rPr>
              <w:t>2.1</w:t>
            </w:r>
            <w:r w:rsidR="00E5575B" w:rsidRPr="00A05D59">
              <w:rPr>
                <w:b/>
                <w:bCs/>
                <w:sz w:val="24"/>
                <w:szCs w:val="24"/>
                <w:lang w:eastAsia="en-US"/>
              </w:rPr>
              <w:t>.</w:t>
            </w:r>
            <w:r w:rsidRPr="00A05D59">
              <w:rPr>
                <w:b/>
                <w:bCs/>
                <w:sz w:val="24"/>
                <w:szCs w:val="24"/>
                <w:lang w:eastAsia="en-US"/>
              </w:rPr>
              <w:t xml:space="preserve"> Sursa proiectului de act normativ</w:t>
            </w:r>
            <w:r w:rsidR="001F0E0E" w:rsidRPr="00A05D59">
              <w:rPr>
                <w:b/>
                <w:bCs/>
                <w:sz w:val="24"/>
                <w:szCs w:val="24"/>
                <w:lang w:eastAsia="en-US"/>
              </w:rPr>
              <w:t>:</w:t>
            </w:r>
          </w:p>
          <w:p w14:paraId="4B7304FC" w14:textId="77777777" w:rsidR="00CA593D" w:rsidRPr="00A05D59" w:rsidRDefault="00C373BF" w:rsidP="00C373BF">
            <w:pPr>
              <w:spacing w:before="120" w:after="120"/>
              <w:rPr>
                <w:sz w:val="24"/>
                <w:szCs w:val="24"/>
                <w:lang w:eastAsia="en-US"/>
              </w:rPr>
            </w:pPr>
            <w:r w:rsidRPr="00A05D59">
              <w:rPr>
                <w:sz w:val="24"/>
                <w:szCs w:val="24"/>
                <w:lang w:eastAsia="en-US"/>
              </w:rPr>
              <w:t xml:space="preserve">Directiva (UE) 2024/1799 a Parlamentului European și a  Consiliului din 13 iunie 2024 privind normele comune de promovare a reparării bunurilor și de modificare a Regulamentului (UE) 2017/2394 și a Directivelor (UE) 2019/771 și (UE) 2020/1828, </w:t>
            </w:r>
            <w:r w:rsidRPr="00A05D59">
              <w:rPr>
                <w:iCs/>
                <w:noProof/>
                <w:sz w:val="24"/>
                <w:szCs w:val="24"/>
              </w:rPr>
              <w:t>publicată în JO L2024/1799</w:t>
            </w:r>
          </w:p>
        </w:tc>
      </w:tr>
      <w:tr w:rsidR="00A62022" w:rsidRPr="00A05D59" w14:paraId="33EB2246" w14:textId="77777777" w:rsidTr="00D47ECA">
        <w:trPr>
          <w:gridAfter w:val="1"/>
          <w:wAfter w:w="27" w:type="dxa"/>
          <w:jc w:val="center"/>
        </w:trPr>
        <w:tc>
          <w:tcPr>
            <w:tcW w:w="10335" w:type="dxa"/>
            <w:gridSpan w:val="7"/>
          </w:tcPr>
          <w:p w14:paraId="248483D4" w14:textId="77777777" w:rsidR="00EB11B3" w:rsidRDefault="00A62022" w:rsidP="00D81EF2">
            <w:pPr>
              <w:pStyle w:val="TableParagraph"/>
              <w:ind w:left="0"/>
              <w:jc w:val="both"/>
              <w:rPr>
                <w:b/>
                <w:sz w:val="24"/>
                <w:szCs w:val="24"/>
              </w:rPr>
            </w:pPr>
            <w:r w:rsidRPr="00EB11B3">
              <w:rPr>
                <w:b/>
                <w:sz w:val="24"/>
                <w:szCs w:val="24"/>
              </w:rPr>
              <w:t>2.2.</w:t>
            </w:r>
            <w:r w:rsidR="00E5575B" w:rsidRPr="00EB11B3">
              <w:rPr>
                <w:b/>
                <w:sz w:val="24"/>
                <w:szCs w:val="24"/>
              </w:rPr>
              <w:t xml:space="preserve"> </w:t>
            </w:r>
            <w:r w:rsidRPr="00EB11B3">
              <w:rPr>
                <w:b/>
                <w:sz w:val="24"/>
                <w:szCs w:val="24"/>
              </w:rPr>
              <w:t>Descrierea</w:t>
            </w:r>
            <w:r w:rsidRPr="00EB11B3">
              <w:rPr>
                <w:b/>
                <w:spacing w:val="-6"/>
                <w:sz w:val="24"/>
                <w:szCs w:val="24"/>
              </w:rPr>
              <w:t xml:space="preserve"> </w:t>
            </w:r>
            <w:r w:rsidRPr="00EB11B3">
              <w:rPr>
                <w:b/>
                <w:sz w:val="24"/>
                <w:szCs w:val="24"/>
              </w:rPr>
              <w:t>situației</w:t>
            </w:r>
            <w:r w:rsidRPr="00EB11B3">
              <w:rPr>
                <w:b/>
                <w:spacing w:val="-5"/>
                <w:sz w:val="24"/>
                <w:szCs w:val="24"/>
              </w:rPr>
              <w:t xml:space="preserve"> </w:t>
            </w:r>
            <w:r w:rsidRPr="00EB11B3">
              <w:rPr>
                <w:b/>
                <w:sz w:val="24"/>
                <w:szCs w:val="24"/>
              </w:rPr>
              <w:t>actuale:</w:t>
            </w:r>
          </w:p>
          <w:p w14:paraId="0AC21065" w14:textId="77777777" w:rsidR="00EB11B3" w:rsidRPr="00EB11B3" w:rsidRDefault="00EB11B3" w:rsidP="00D81EF2">
            <w:pPr>
              <w:pStyle w:val="TableParagraph"/>
              <w:ind w:left="0"/>
              <w:jc w:val="both"/>
              <w:rPr>
                <w:b/>
                <w:sz w:val="24"/>
                <w:szCs w:val="24"/>
              </w:rPr>
            </w:pPr>
          </w:p>
          <w:p w14:paraId="51FBA4E5" w14:textId="2D141565" w:rsidR="00EB11B3" w:rsidRDefault="00EB11B3" w:rsidP="00D81EF2">
            <w:pPr>
              <w:pStyle w:val="TableParagraph"/>
              <w:ind w:left="0"/>
              <w:jc w:val="both"/>
              <w:rPr>
                <w:bCs/>
                <w:sz w:val="24"/>
                <w:szCs w:val="24"/>
              </w:rPr>
            </w:pPr>
            <w:r>
              <w:rPr>
                <w:bCs/>
                <w:sz w:val="24"/>
                <w:szCs w:val="24"/>
              </w:rPr>
              <w:t>În prezent, în materia reparării bunurilor, sunt în vigoare următoarele reglement</w:t>
            </w:r>
            <w:r w:rsidR="0046502E">
              <w:rPr>
                <w:bCs/>
                <w:sz w:val="24"/>
                <w:szCs w:val="24"/>
              </w:rPr>
              <w:t>ă</w:t>
            </w:r>
            <w:r>
              <w:rPr>
                <w:bCs/>
                <w:sz w:val="24"/>
                <w:szCs w:val="24"/>
              </w:rPr>
              <w:t>ri, astfel:</w:t>
            </w:r>
          </w:p>
          <w:p w14:paraId="3DF1B37E" w14:textId="76858075" w:rsidR="002309B1" w:rsidRDefault="00EB11B3" w:rsidP="00D81EF2">
            <w:pPr>
              <w:pStyle w:val="TableParagraph"/>
              <w:ind w:left="0"/>
              <w:jc w:val="both"/>
              <w:rPr>
                <w:bCs/>
                <w:sz w:val="24"/>
                <w:szCs w:val="24"/>
              </w:rPr>
            </w:pPr>
            <w:r>
              <w:rPr>
                <w:bCs/>
                <w:sz w:val="24"/>
                <w:szCs w:val="24"/>
              </w:rPr>
              <w:t xml:space="preserve">- </w:t>
            </w:r>
            <w:r w:rsidRPr="004E7B50">
              <w:rPr>
                <w:bCs/>
                <w:sz w:val="24"/>
                <w:szCs w:val="24"/>
              </w:rPr>
              <w:t xml:space="preserve"> </w:t>
            </w:r>
            <w:r w:rsidR="002309B1" w:rsidRPr="004E7B50">
              <w:rPr>
                <w:bCs/>
                <w:sz w:val="24"/>
                <w:szCs w:val="24"/>
              </w:rPr>
              <w:t>Ordonanţa de urgenţă nr. 140/2021 privind anumite aspecte referitoare la contractele de vânzare de bunuri</w:t>
            </w:r>
            <w:r w:rsidR="002309B1" w:rsidRPr="004E7B50">
              <w:rPr>
                <w:bCs/>
              </w:rPr>
              <w:t xml:space="preserve">, </w:t>
            </w:r>
            <w:r w:rsidR="002309B1" w:rsidRPr="004E7B50">
              <w:rPr>
                <w:bCs/>
                <w:sz w:val="24"/>
                <w:szCs w:val="24"/>
              </w:rPr>
              <w:t>aprobată prin Legea nr. 205/2023</w:t>
            </w:r>
            <w:r w:rsidR="0046502E">
              <w:rPr>
                <w:bCs/>
                <w:sz w:val="24"/>
                <w:szCs w:val="24"/>
              </w:rPr>
              <w:t>,</w:t>
            </w:r>
            <w:r w:rsidR="004E7B50">
              <w:rPr>
                <w:bCs/>
                <w:sz w:val="24"/>
                <w:szCs w:val="24"/>
              </w:rPr>
              <w:t xml:space="preserve"> </w:t>
            </w:r>
            <w:r w:rsidR="002309B1" w:rsidRPr="004E7B50">
              <w:rPr>
                <w:bCs/>
                <w:sz w:val="24"/>
                <w:szCs w:val="24"/>
              </w:rPr>
              <w:t>transpune în legislaţia naţională Directiva (UE) 2019/771 a Parlamentului European şi a Consiliului din 20 mai 2019 privind anumite aspecte referitoare la contractele de vânzare de bunuri, de modificare a Regulamentului (UE) 2017/2.394 şi a Directivei 2009/22/CE şi de abrogare a Directivei 1999/44/CE, publicată în Jurnalul Oficial al Uniunii Europene, seria L, nr. 136 din 22 mai 2019.</w:t>
            </w:r>
          </w:p>
          <w:p w14:paraId="7C7FBB7E" w14:textId="77777777" w:rsidR="00EB11B3" w:rsidRPr="004E7B50" w:rsidRDefault="00EB11B3" w:rsidP="00EB11B3">
            <w:pPr>
              <w:pStyle w:val="TableParagraph"/>
              <w:ind w:left="0"/>
              <w:jc w:val="both"/>
              <w:rPr>
                <w:bCs/>
                <w:sz w:val="24"/>
                <w:szCs w:val="24"/>
              </w:rPr>
            </w:pPr>
            <w:r w:rsidRPr="00EB11B3">
              <w:rPr>
                <w:bCs/>
                <w:sz w:val="24"/>
                <w:szCs w:val="24"/>
              </w:rPr>
              <w:t>Înainte să furnizeze măsura corectivă pentru a aduce bunurile în conformitate, vânzătorul trebuie să informeze consumatorii cu privire la dreptul acestora de a alege între reparare și înlocuire, precum și cu privire la eventuala prelungire a perioadei de garanție</w:t>
            </w:r>
            <w:r>
              <w:rPr>
                <w:bCs/>
                <w:sz w:val="24"/>
                <w:szCs w:val="24"/>
              </w:rPr>
              <w:t>, aspect ce nu este reglementat în actuala reglemetare.</w:t>
            </w:r>
          </w:p>
          <w:p w14:paraId="4B48BEFE" w14:textId="77777777" w:rsidR="004E7B50" w:rsidRPr="004E7B50" w:rsidRDefault="00EB11B3" w:rsidP="004E7B50">
            <w:pPr>
              <w:jc w:val="both"/>
              <w:rPr>
                <w:sz w:val="24"/>
                <w:szCs w:val="24"/>
                <w:lang w:eastAsia="en-US"/>
              </w:rPr>
            </w:pPr>
            <w:r>
              <w:rPr>
                <w:sz w:val="24"/>
                <w:szCs w:val="24"/>
                <w:lang w:eastAsia="en-US"/>
              </w:rPr>
              <w:t xml:space="preserve">- </w:t>
            </w:r>
            <w:r w:rsidR="004E7B50" w:rsidRPr="004E7B50">
              <w:rPr>
                <w:sz w:val="24"/>
                <w:szCs w:val="24"/>
                <w:lang w:eastAsia="en-US"/>
              </w:rPr>
              <w:t>Legea nr. 414/2023 privind desfăşurarea acţiunilor în reprezentare pentru protecţia intereselor colective ale consumatorilor, transpune Directiva (UE) 2020/1.828 a Parlamentului European şi a Consiliului din 25 noiembrie 2020 privind acţiunile în reprezentare pentru protecţia intereselor colective ale consumatorilor şi de abrogare a Directivei 2009/22/CE, publicată în Jurnalul Oficial al Uniunii Europene, seria L, nr. 409 din 4 decembrie 2020</w:t>
            </w:r>
            <w:r w:rsidR="004E7B50">
              <w:rPr>
                <w:sz w:val="24"/>
                <w:szCs w:val="24"/>
                <w:lang w:eastAsia="en-US"/>
              </w:rPr>
              <w:t>.</w:t>
            </w:r>
          </w:p>
          <w:p w14:paraId="40D3F79B" w14:textId="77777777" w:rsidR="00E03E48" w:rsidRPr="00EB11B3" w:rsidRDefault="00EB11B3" w:rsidP="004E7B50">
            <w:pPr>
              <w:jc w:val="both"/>
              <w:rPr>
                <w:sz w:val="24"/>
                <w:szCs w:val="24"/>
                <w:lang w:eastAsia="en-US"/>
              </w:rPr>
            </w:pPr>
            <w:r>
              <w:rPr>
                <w:color w:val="FF0000"/>
                <w:sz w:val="24"/>
                <w:szCs w:val="24"/>
                <w:lang w:eastAsia="en-US"/>
              </w:rPr>
              <w:t xml:space="preserve">- </w:t>
            </w:r>
            <w:r w:rsidR="004E7B50" w:rsidRPr="00EB11B3">
              <w:rPr>
                <w:sz w:val="24"/>
                <w:szCs w:val="24"/>
                <w:lang w:eastAsia="en-US"/>
              </w:rPr>
              <w:t xml:space="preserve">Regulamentul (UE) 2017/2394 al Parlamentului European și al Consiliului din 12 decembrie 2017 privind cooperarea dintre autoritățile naționale însărcinate să asigure respectarea legislației în materie de protecție a consumatorului și de abrogare a Regulamentului (CE) nr. 2006/2004, JO L 345, 27.12.2017, </w:t>
            </w:r>
          </w:p>
          <w:p w14:paraId="7EA5D9B5" w14:textId="20AF91C1" w:rsidR="00EB11B3" w:rsidRPr="00EB11B3" w:rsidRDefault="00E03E48" w:rsidP="00EB11B3">
            <w:pPr>
              <w:jc w:val="both"/>
              <w:rPr>
                <w:sz w:val="24"/>
                <w:szCs w:val="24"/>
                <w:lang w:eastAsia="en-US"/>
              </w:rPr>
            </w:pPr>
            <w:r w:rsidRPr="00EB11B3">
              <w:rPr>
                <w:sz w:val="24"/>
                <w:szCs w:val="24"/>
                <w:lang w:eastAsia="en-US"/>
              </w:rPr>
              <w:t>Ținând cont de faptul c</w:t>
            </w:r>
            <w:r w:rsidR="0046502E">
              <w:rPr>
                <w:sz w:val="24"/>
                <w:szCs w:val="24"/>
                <w:lang w:eastAsia="en-US"/>
              </w:rPr>
              <w:t>ă, d</w:t>
            </w:r>
            <w:r w:rsidR="00EB11B3" w:rsidRPr="00EB11B3">
              <w:rPr>
                <w:sz w:val="24"/>
                <w:szCs w:val="24"/>
                <w:lang w:eastAsia="en-US"/>
              </w:rPr>
              <w:t>in studiul elaborat la nivelul Comisie Europene</w:t>
            </w:r>
            <w:r w:rsidR="0046502E">
              <w:rPr>
                <w:sz w:val="24"/>
                <w:szCs w:val="24"/>
                <w:lang w:eastAsia="en-US"/>
              </w:rPr>
              <w:t>,</w:t>
            </w:r>
            <w:r w:rsidR="00EB11B3" w:rsidRPr="00EB11B3">
              <w:rPr>
                <w:sz w:val="24"/>
                <w:szCs w:val="24"/>
                <w:lang w:eastAsia="en-US"/>
              </w:rPr>
              <w:t xml:space="preserve"> articolele care pot fi reparate sunt adesea aruncate, iar acest lucru duce la producerea a 35 de milioane de tone de deșeuri și a 261 de milioane de tone de emisii de gaze cu efect de seră în UE în fiecare an, costul înlocuirii (în loc de repararea) produselor pentru consumatori fiind estimat la aproape 12 miliarde EUR pe an.</w:t>
            </w:r>
          </w:p>
          <w:p w14:paraId="3B9DE872" w14:textId="23035201" w:rsidR="00EB11B3" w:rsidRPr="00A05D59" w:rsidRDefault="00EB11B3" w:rsidP="00EB11B3">
            <w:pPr>
              <w:jc w:val="both"/>
              <w:rPr>
                <w:color w:val="FF0000"/>
                <w:sz w:val="24"/>
                <w:szCs w:val="24"/>
                <w:lang w:eastAsia="en-US"/>
              </w:rPr>
            </w:pPr>
            <w:r w:rsidRPr="00EB11B3">
              <w:rPr>
                <w:sz w:val="24"/>
                <w:szCs w:val="24"/>
                <w:lang w:eastAsia="en-US"/>
              </w:rPr>
              <w:t>În acest sens, pentr</w:t>
            </w:r>
            <w:r w:rsidR="0046502E">
              <w:rPr>
                <w:sz w:val="24"/>
                <w:szCs w:val="24"/>
                <w:lang w:eastAsia="en-US"/>
              </w:rPr>
              <w:t>u</w:t>
            </w:r>
            <w:r w:rsidRPr="00EB11B3">
              <w:rPr>
                <w:sz w:val="24"/>
                <w:szCs w:val="24"/>
                <w:lang w:eastAsia="en-US"/>
              </w:rPr>
              <w:t xml:space="preserve"> o abordare unitară la nivel comunitar,  este necesară transpunerea în legislația  națională a Directivei (UE) 2024/1799.</w:t>
            </w:r>
          </w:p>
        </w:tc>
      </w:tr>
      <w:tr w:rsidR="00A62022" w:rsidRPr="00A05D59" w14:paraId="61F82194" w14:textId="77777777" w:rsidTr="00D47ECA">
        <w:trPr>
          <w:gridAfter w:val="1"/>
          <w:wAfter w:w="27" w:type="dxa"/>
          <w:jc w:val="center"/>
        </w:trPr>
        <w:tc>
          <w:tcPr>
            <w:tcW w:w="10335" w:type="dxa"/>
            <w:gridSpan w:val="7"/>
          </w:tcPr>
          <w:p w14:paraId="5E8EAE7F" w14:textId="77777777" w:rsidR="00A62022" w:rsidRDefault="00A62022" w:rsidP="00D81EF2">
            <w:pPr>
              <w:spacing w:before="120" w:after="120"/>
              <w:jc w:val="both"/>
              <w:rPr>
                <w:b/>
                <w:bCs/>
                <w:sz w:val="24"/>
                <w:szCs w:val="24"/>
                <w:lang w:eastAsia="en-US"/>
              </w:rPr>
            </w:pPr>
            <w:r w:rsidRPr="00A05D59">
              <w:rPr>
                <w:b/>
                <w:bCs/>
                <w:sz w:val="24"/>
                <w:szCs w:val="24"/>
                <w:lang w:eastAsia="en-US"/>
              </w:rPr>
              <w:t>2.3. Schimbări preconizate</w:t>
            </w:r>
            <w:r w:rsidR="001F0E0E" w:rsidRPr="00A05D59">
              <w:rPr>
                <w:b/>
                <w:bCs/>
                <w:sz w:val="24"/>
                <w:szCs w:val="24"/>
                <w:lang w:eastAsia="en-US"/>
              </w:rPr>
              <w:t>:</w:t>
            </w:r>
          </w:p>
          <w:p w14:paraId="22C91A87" w14:textId="77777777" w:rsidR="00EB11B3" w:rsidRPr="00EB11B3" w:rsidRDefault="00EB11B3" w:rsidP="00D81EF2">
            <w:pPr>
              <w:spacing w:before="120" w:after="120"/>
              <w:jc w:val="both"/>
              <w:rPr>
                <w:sz w:val="24"/>
                <w:szCs w:val="24"/>
                <w:lang w:eastAsia="en-US"/>
              </w:rPr>
            </w:pPr>
            <w:r w:rsidRPr="00EB11B3">
              <w:rPr>
                <w:sz w:val="24"/>
                <w:szCs w:val="24"/>
                <w:lang w:eastAsia="en-US"/>
              </w:rPr>
              <w:t>Directiva (UE) 2024/1799 are ca scop promovarea reparării bunurilor defecte sau deteriorate, în beneficiul consumatorilor, al mediului și al pieței interne a Uniunii Europene (UE).</w:t>
            </w:r>
          </w:p>
          <w:p w14:paraId="180B5F19" w14:textId="77777777"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t>Pr</w:t>
            </w:r>
            <w:r>
              <w:rPr>
                <w:rFonts w:eastAsia="Calibri"/>
                <w:kern w:val="2"/>
                <w:sz w:val="24"/>
                <w:szCs w:val="24"/>
                <w:lang w:val="en-US" w:eastAsia="en-US"/>
              </w:rPr>
              <w:t>oiectul</w:t>
            </w:r>
            <w:proofErr w:type="spellEnd"/>
            <w:r>
              <w:rPr>
                <w:rFonts w:eastAsia="Calibri"/>
                <w:kern w:val="2"/>
                <w:sz w:val="24"/>
                <w:szCs w:val="24"/>
                <w:lang w:val="en-US" w:eastAsia="en-US"/>
              </w:rPr>
              <w:t xml:space="preserve"> de</w:t>
            </w:r>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lege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stabilește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norme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comune</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consolidează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dispozițiile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repararea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cu </w:t>
            </w:r>
            <w:proofErr w:type="spellStart"/>
            <w:r w:rsidRPr="004B2245">
              <w:rPr>
                <w:rFonts w:eastAsia="Calibri"/>
                <w:kern w:val="2"/>
                <w:sz w:val="24"/>
                <w:szCs w:val="24"/>
                <w:lang w:val="en-US" w:eastAsia="en-US"/>
              </w:rPr>
              <w:t>scopul</w:t>
            </w:r>
            <w:proofErr w:type="spellEnd"/>
            <w:r w:rsidRPr="004B2245">
              <w:rPr>
                <w:rFonts w:eastAsia="Calibri"/>
                <w:kern w:val="2"/>
                <w:sz w:val="24"/>
                <w:szCs w:val="24"/>
                <w:lang w:val="en-US" w:eastAsia="en-US"/>
              </w:rPr>
              <w:t xml:space="preserve"> de a </w:t>
            </w:r>
            <w:proofErr w:type="spellStart"/>
            <w:r w:rsidRPr="004B2245">
              <w:rPr>
                <w:rFonts w:eastAsia="Calibri"/>
                <w:kern w:val="2"/>
                <w:sz w:val="24"/>
                <w:szCs w:val="24"/>
                <w:lang w:val="en-US" w:eastAsia="en-US"/>
              </w:rPr>
              <w:t>contribui</w:t>
            </w:r>
            <w:proofErr w:type="spellEnd"/>
            <w:r w:rsidRPr="004B2245">
              <w:rPr>
                <w:rFonts w:eastAsia="Calibri"/>
                <w:kern w:val="2"/>
                <w:sz w:val="24"/>
                <w:szCs w:val="24"/>
                <w:lang w:val="en-US" w:eastAsia="en-US"/>
              </w:rPr>
              <w:t xml:space="preserve"> la buna </w:t>
            </w:r>
            <w:proofErr w:type="spellStart"/>
            <w:r w:rsidRPr="004B2245">
              <w:rPr>
                <w:rFonts w:eastAsia="Calibri"/>
                <w:kern w:val="2"/>
                <w:sz w:val="24"/>
                <w:szCs w:val="24"/>
                <w:lang w:val="en-US" w:eastAsia="en-US"/>
              </w:rPr>
              <w:t>funcționare</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pieței</w:t>
            </w:r>
            <w:proofErr w:type="spellEnd"/>
            <w:r w:rsidRPr="004B2245">
              <w:rPr>
                <w:rFonts w:eastAsia="Calibri"/>
                <w:kern w:val="2"/>
                <w:sz w:val="24"/>
                <w:szCs w:val="24"/>
                <w:lang w:val="en-US" w:eastAsia="en-US"/>
              </w:rPr>
              <w:t xml:space="preserve"> interne, </w:t>
            </w:r>
            <w:proofErr w:type="spellStart"/>
            <w:r w:rsidRPr="004B2245">
              <w:rPr>
                <w:rFonts w:eastAsia="Calibri"/>
                <w:kern w:val="2"/>
                <w:sz w:val="24"/>
                <w:szCs w:val="24"/>
                <w:lang w:val="en-US" w:eastAsia="en-US"/>
              </w:rPr>
              <w:t>asigurând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același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timp</w:t>
            </w:r>
            <w:proofErr w:type="spellEnd"/>
            <w:r w:rsidRPr="004B2245">
              <w:rPr>
                <w:rFonts w:eastAsia="Calibri"/>
                <w:kern w:val="2"/>
                <w:sz w:val="24"/>
                <w:szCs w:val="24"/>
                <w:lang w:val="en-US" w:eastAsia="en-US"/>
              </w:rPr>
              <w:t xml:space="preserve"> un </w:t>
            </w:r>
            <w:proofErr w:type="spellStart"/>
            <w:r w:rsidRPr="004B2245">
              <w:rPr>
                <w:rFonts w:eastAsia="Calibri"/>
                <w:kern w:val="2"/>
                <w:sz w:val="24"/>
                <w:szCs w:val="24"/>
                <w:lang w:val="en-US" w:eastAsia="en-US"/>
              </w:rPr>
              <w:t>nivel</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ridicat</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protecție</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consumatorilor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mediului</w:t>
            </w:r>
            <w:proofErr w:type="spellEnd"/>
            <w:r w:rsidRPr="004B2245">
              <w:rPr>
                <w:rFonts w:eastAsia="Calibri"/>
                <w:kern w:val="2"/>
                <w:sz w:val="24"/>
                <w:szCs w:val="24"/>
                <w:lang w:val="en-US" w:eastAsia="en-US"/>
              </w:rPr>
              <w:t>.</w:t>
            </w:r>
          </w:p>
          <w:p w14:paraId="074C0273" w14:textId="77777777"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lastRenderedPageBreak/>
              <w:t>Proiectul</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lege</w:t>
            </w:r>
            <w:proofErr w:type="spellEnd"/>
            <w:r w:rsidRPr="004B2245">
              <w:rPr>
                <w:rFonts w:eastAsia="Calibri"/>
                <w:kern w:val="2"/>
                <w:sz w:val="24"/>
                <w:szCs w:val="24"/>
                <w:lang w:val="en-US" w:eastAsia="en-US"/>
              </w:rPr>
              <w:t xml:space="preserve"> se </w:t>
            </w:r>
            <w:proofErr w:type="spellStart"/>
            <w:r w:rsidRPr="004B2245">
              <w:rPr>
                <w:rFonts w:eastAsia="Calibri"/>
                <w:kern w:val="2"/>
                <w:sz w:val="24"/>
                <w:szCs w:val="24"/>
                <w:lang w:val="en-US" w:eastAsia="en-US"/>
              </w:rPr>
              <w:t>aplică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reparării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achiziționate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consumatori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cazul</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existenței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unui</w:t>
            </w:r>
            <w:proofErr w:type="spellEnd"/>
            <w:r w:rsidRPr="004B2245">
              <w:rPr>
                <w:rFonts w:eastAsia="Calibri"/>
                <w:kern w:val="2"/>
                <w:sz w:val="24"/>
                <w:szCs w:val="24"/>
                <w:lang w:val="en-US" w:eastAsia="en-US"/>
              </w:rPr>
              <w:t xml:space="preserve"> defect al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survine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sau</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este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constatat</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afara </w:t>
            </w:r>
            <w:proofErr w:type="spellStart"/>
            <w:r w:rsidRPr="004B2245">
              <w:rPr>
                <w:rFonts w:eastAsia="Calibri"/>
                <w:kern w:val="2"/>
                <w:sz w:val="24"/>
                <w:szCs w:val="24"/>
                <w:lang w:val="en-US" w:eastAsia="en-US"/>
              </w:rPr>
              <w:t>răspunderii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vânzătorului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prevăzute</w:t>
            </w:r>
            <w:proofErr w:type="spellEnd"/>
            <w:r w:rsidRPr="004B2245">
              <w:rPr>
                <w:rFonts w:eastAsia="Calibri"/>
                <w:kern w:val="2"/>
                <w:sz w:val="24"/>
                <w:szCs w:val="24"/>
                <w:lang w:val="en-US" w:eastAsia="en-US"/>
              </w:rPr>
              <w:t xml:space="preserve"> la art. 9 din </w:t>
            </w:r>
            <w:proofErr w:type="spellStart"/>
            <w:r w:rsidRPr="004B2245">
              <w:rPr>
                <w:rFonts w:eastAsia="Calibri"/>
                <w:kern w:val="2"/>
                <w:sz w:val="24"/>
                <w:szCs w:val="24"/>
                <w:lang w:val="en-US" w:eastAsia="en-US"/>
              </w:rPr>
              <w:t>Ordonanţa</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urgenţă</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Guvernului</w:t>
            </w:r>
            <w:proofErr w:type="spellEnd"/>
            <w:r w:rsidRPr="004B2245">
              <w:rPr>
                <w:rFonts w:eastAsia="Calibri"/>
                <w:kern w:val="2"/>
                <w:sz w:val="24"/>
                <w:szCs w:val="24"/>
                <w:lang w:val="en-US" w:eastAsia="en-US"/>
              </w:rPr>
              <w:t xml:space="preserve"> nr. 140/2021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anumite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aspecte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contractele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vânzare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bunuri</w:t>
            </w:r>
            <w:proofErr w:type="spellEnd"/>
            <w:r w:rsidRPr="004B2245">
              <w:rPr>
                <w:rFonts w:eastAsia="Calibri"/>
                <w:kern w:val="2"/>
                <w:sz w:val="24"/>
                <w:szCs w:val="24"/>
                <w:lang w:val="en-US" w:eastAsia="en-US"/>
              </w:rPr>
              <w:t xml:space="preserve">.  </w:t>
            </w:r>
          </w:p>
          <w:p w14:paraId="0A06AA61" w14:textId="77777777" w:rsidR="004B2245" w:rsidRPr="004B2245" w:rsidRDefault="004B2245" w:rsidP="004B2245">
            <w:pPr>
              <w:spacing w:line="259" w:lineRule="auto"/>
              <w:jc w:val="both"/>
              <w:rPr>
                <w:rFonts w:eastAsia="Calibri"/>
                <w:kern w:val="2"/>
                <w:sz w:val="24"/>
                <w:szCs w:val="24"/>
                <w:lang w:val="en-US" w:eastAsia="en-US"/>
              </w:rPr>
            </w:pPr>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Articolele</w:t>
            </w:r>
            <w:proofErr w:type="spellEnd"/>
            <w:r w:rsidRPr="004B2245">
              <w:rPr>
                <w:rFonts w:eastAsia="Calibri"/>
                <w:kern w:val="2"/>
                <w:sz w:val="24"/>
                <w:szCs w:val="24"/>
                <w:lang w:val="en-US" w:eastAsia="en-US"/>
              </w:rPr>
              <w:t xml:space="preserve"> 4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5 din </w:t>
            </w:r>
            <w:proofErr w:type="spellStart"/>
            <w:r>
              <w:rPr>
                <w:rFonts w:eastAsia="Calibri"/>
                <w:kern w:val="2"/>
                <w:sz w:val="24"/>
                <w:szCs w:val="24"/>
                <w:lang w:val="en-US" w:eastAsia="en-US"/>
              </w:rPr>
              <w:t>p</w:t>
            </w:r>
            <w:r w:rsidRPr="004B2245">
              <w:rPr>
                <w:rFonts w:eastAsia="Calibri"/>
                <w:kern w:val="2"/>
                <w:sz w:val="24"/>
                <w:szCs w:val="24"/>
                <w:lang w:val="en-US" w:eastAsia="en-US"/>
              </w:rPr>
              <w:t>roiectul</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lege</w:t>
            </w:r>
            <w:proofErr w:type="spellEnd"/>
            <w:r w:rsidRPr="004B2245">
              <w:rPr>
                <w:rFonts w:eastAsia="Calibri"/>
                <w:kern w:val="2"/>
                <w:sz w:val="24"/>
                <w:szCs w:val="24"/>
                <w:lang w:val="en-US" w:eastAsia="en-US"/>
              </w:rPr>
              <w:t xml:space="preserve"> se </w:t>
            </w:r>
            <w:proofErr w:type="spellStart"/>
            <w:r w:rsidRPr="004B2245">
              <w:rPr>
                <w:rFonts w:eastAsia="Calibri"/>
                <w:kern w:val="2"/>
                <w:sz w:val="24"/>
                <w:szCs w:val="24"/>
                <w:lang w:val="en-US" w:eastAsia="en-US"/>
              </w:rPr>
              <w:t>aplică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numai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pentru care sunt </w:t>
            </w:r>
            <w:proofErr w:type="spellStart"/>
            <w:r w:rsidRPr="004B2245">
              <w:rPr>
                <w:rFonts w:eastAsia="Calibri"/>
                <w:kern w:val="2"/>
                <w:sz w:val="24"/>
                <w:szCs w:val="24"/>
                <w:lang w:val="en-US" w:eastAsia="en-US"/>
              </w:rPr>
              <w:t>prevăzute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cerințe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potențialul</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reparare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actele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juridice</w:t>
            </w:r>
            <w:proofErr w:type="spellEnd"/>
            <w:r w:rsidRPr="004B2245">
              <w:rPr>
                <w:rFonts w:eastAsia="Calibri"/>
                <w:kern w:val="2"/>
                <w:sz w:val="24"/>
                <w:szCs w:val="24"/>
                <w:lang w:val="en-US" w:eastAsia="en-US"/>
              </w:rPr>
              <w:t xml:space="preserve"> ale </w:t>
            </w:r>
            <w:proofErr w:type="spellStart"/>
            <w:r w:rsidRPr="004B2245">
              <w:rPr>
                <w:rFonts w:eastAsia="Calibri"/>
                <w:kern w:val="2"/>
                <w:sz w:val="24"/>
                <w:szCs w:val="24"/>
                <w:lang w:val="en-US" w:eastAsia="en-US"/>
              </w:rPr>
              <w:t>Uniunii</w:t>
            </w:r>
            <w:proofErr w:type="spellEnd"/>
            <w:r w:rsidRPr="004B2245">
              <w:rPr>
                <w:rFonts w:eastAsia="Calibri"/>
                <w:kern w:val="2"/>
                <w:sz w:val="24"/>
                <w:szCs w:val="24"/>
                <w:lang w:val="en-US" w:eastAsia="en-US"/>
              </w:rPr>
              <w:t xml:space="preserve"> enumerate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anexa</w:t>
            </w:r>
            <w:proofErr w:type="spellEnd"/>
            <w:r w:rsidRPr="004B2245">
              <w:rPr>
                <w:rFonts w:eastAsia="Calibri"/>
                <w:kern w:val="2"/>
                <w:sz w:val="24"/>
                <w:szCs w:val="24"/>
                <w:lang w:val="en-US" w:eastAsia="en-US"/>
              </w:rPr>
              <w:t xml:space="preserve"> II la </w:t>
            </w:r>
            <w:proofErr w:type="spellStart"/>
            <w:r w:rsidRPr="004B2245">
              <w:rPr>
                <w:rFonts w:eastAsia="Calibri"/>
                <w:kern w:val="2"/>
                <w:sz w:val="24"/>
                <w:szCs w:val="24"/>
                <w:lang w:val="en-US" w:eastAsia="en-US"/>
              </w:rPr>
              <w:t>prezenta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numai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măsura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respectivele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cerințe</w:t>
            </w:r>
            <w:proofErr w:type="spellEnd"/>
            <w:r w:rsidRPr="004B2245">
              <w:rPr>
                <w:rFonts w:eastAsia="Calibri"/>
                <w:kern w:val="2"/>
                <w:sz w:val="24"/>
                <w:szCs w:val="24"/>
                <w:lang w:val="en-US" w:eastAsia="en-US"/>
              </w:rPr>
              <w:t xml:space="preserve"> sunt </w:t>
            </w:r>
            <w:proofErr w:type="spellStart"/>
            <w:r w:rsidRPr="004B2245">
              <w:rPr>
                <w:rFonts w:eastAsia="Calibri"/>
                <w:kern w:val="2"/>
                <w:sz w:val="24"/>
                <w:szCs w:val="24"/>
                <w:lang w:val="en-US" w:eastAsia="en-US"/>
              </w:rPr>
              <w:t>aplicabile</w:t>
            </w:r>
            <w:proofErr w:type="spellEnd"/>
            <w:r w:rsidRPr="004B2245">
              <w:rPr>
                <w:rFonts w:eastAsia="Calibri"/>
                <w:kern w:val="2"/>
                <w:sz w:val="24"/>
                <w:szCs w:val="24"/>
                <w:lang w:val="en-US" w:eastAsia="en-US"/>
              </w:rPr>
              <w:t>.</w:t>
            </w:r>
          </w:p>
          <w:p w14:paraId="3CC31259" w14:textId="77777777"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t>Proiectul</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lege</w:t>
            </w:r>
            <w:proofErr w:type="spellEnd"/>
            <w:r w:rsidRPr="004B2245">
              <w:rPr>
                <w:rFonts w:eastAsia="Calibri"/>
                <w:kern w:val="2"/>
                <w:sz w:val="24"/>
                <w:szCs w:val="24"/>
                <w:lang w:val="en-US" w:eastAsia="en-US"/>
              </w:rPr>
              <w:t xml:space="preserve"> nu </w:t>
            </w:r>
            <w:proofErr w:type="spellStart"/>
            <w:r w:rsidRPr="004B2245">
              <w:rPr>
                <w:rFonts w:eastAsia="Calibri"/>
                <w:kern w:val="2"/>
                <w:sz w:val="24"/>
                <w:szCs w:val="24"/>
                <w:lang w:val="en-US" w:eastAsia="en-US"/>
              </w:rPr>
              <w:t>aduce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atingere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Legii</w:t>
            </w:r>
            <w:proofErr w:type="spellEnd"/>
            <w:r w:rsidRPr="004B2245">
              <w:rPr>
                <w:rFonts w:eastAsia="Calibri"/>
                <w:kern w:val="2"/>
                <w:sz w:val="24"/>
                <w:szCs w:val="24"/>
                <w:lang w:val="en-US" w:eastAsia="en-US"/>
              </w:rPr>
              <w:t xml:space="preserve"> nr. 245/2020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efectuarea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unui</w:t>
            </w:r>
            <w:proofErr w:type="spellEnd"/>
            <w:r w:rsidRPr="004B2245">
              <w:rPr>
                <w:rFonts w:eastAsia="Calibri"/>
                <w:kern w:val="2"/>
                <w:sz w:val="24"/>
                <w:szCs w:val="24"/>
                <w:lang w:val="en-US" w:eastAsia="en-US"/>
              </w:rPr>
              <w:t xml:space="preserve"> test de </w:t>
            </w:r>
            <w:proofErr w:type="spellStart"/>
            <w:r w:rsidRPr="004B2245">
              <w:rPr>
                <w:rFonts w:eastAsia="Calibri"/>
                <w:kern w:val="2"/>
                <w:sz w:val="24"/>
                <w:szCs w:val="24"/>
                <w:lang w:val="en-US" w:eastAsia="en-US"/>
              </w:rPr>
              <w:t>proporționalitate</w:t>
            </w:r>
            <w:proofErr w:type="spellEnd"/>
            <w:r w:rsidRPr="004B2245">
              <w:rPr>
                <w:rFonts w:eastAsia="Calibri"/>
                <w:kern w:val="2"/>
                <w:sz w:val="24"/>
                <w:szCs w:val="24"/>
                <w:lang w:val="en-US" w:eastAsia="en-US"/>
              </w:rPr>
              <w:t xml:space="preserve"> anterior </w:t>
            </w:r>
            <w:proofErr w:type="spellStart"/>
            <w:r w:rsidRPr="004B2245">
              <w:rPr>
                <w:rFonts w:eastAsia="Calibri"/>
                <w:kern w:val="2"/>
                <w:sz w:val="24"/>
                <w:szCs w:val="24"/>
                <w:lang w:val="en-US" w:eastAsia="en-US"/>
              </w:rPr>
              <w:t>adoptării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noi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reglementări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profesii</w:t>
            </w:r>
            <w:proofErr w:type="spellEnd"/>
            <w:r w:rsidRPr="004B2245">
              <w:rPr>
                <w:rFonts w:eastAsia="Calibri"/>
                <w:kern w:val="2"/>
                <w:sz w:val="24"/>
                <w:szCs w:val="24"/>
                <w:lang w:val="en-US" w:eastAsia="en-US"/>
              </w:rPr>
              <w:t>.</w:t>
            </w:r>
          </w:p>
          <w:p w14:paraId="22A3A245" w14:textId="2BDF99E1" w:rsidR="005D1BD5" w:rsidRPr="00A05D59" w:rsidRDefault="005D1BD5" w:rsidP="00D81EF2">
            <w:pPr>
              <w:spacing w:before="120" w:after="120"/>
              <w:jc w:val="both"/>
              <w:rPr>
                <w:b/>
                <w:bCs/>
                <w:sz w:val="24"/>
                <w:szCs w:val="24"/>
                <w:lang w:eastAsia="en-US"/>
              </w:rPr>
            </w:pPr>
            <w:r w:rsidRPr="00A05D59">
              <w:rPr>
                <w:sz w:val="24"/>
                <w:szCs w:val="24"/>
              </w:rPr>
              <w:t>Directiva (UE) 2024/1799 stabilește norme care impun producătorilor obligația de a repara o serie de bunuri pentru care au fost stabilite cerințe privind potențialul de reparare la nivelul UE. În plus, actul normativ european interzice producătorilor acestor bunuri să utilizeze clauze contractuale sau tehnici legate de hardware sau software care să împiedice repararea bunurilor, cu excepția cazului în care acest lucru este justificat de factori legitimi și obiectivi. Pentru fiecare tip de bun care intră în sfera sa de aplicare, se  face trimitere, în cadrul anexei 2, la actele juridice relevante ale UE care stabilesc cerințele privind potențialul de reparare pentru tipul de bun în cauză. Cerințele  se referă la obligațiile producătorului de a furniza piese de schimb în anumite perioade, de a asigura ușurința dezasamblării și reasamblării bunului în scopul reparării și de a furniza informații și/sau instrumente legate de reparare. Majoritatea actelor juridice ale UE menționate în anexa II</w:t>
            </w:r>
            <w:r w:rsidR="009F1D65" w:rsidRPr="00A05D59">
              <w:rPr>
                <w:sz w:val="24"/>
                <w:szCs w:val="24"/>
              </w:rPr>
              <w:t xml:space="preserve"> la Directivă</w:t>
            </w:r>
            <w:r w:rsidRPr="00A05D59">
              <w:rPr>
                <w:sz w:val="24"/>
                <w:szCs w:val="24"/>
              </w:rPr>
              <w:t xml:space="preserve"> au fost adoptate ca legislație secundară în domeniul proiectării ecologice pe baza Directivei 2009/125/CE de instituire a unui cadru pentru stabilirea cerințelor în materie de proiectare ecologică aplicabile produselor cu impact energetic. </w:t>
            </w:r>
          </w:p>
          <w:p w14:paraId="7A9504E8" w14:textId="77777777" w:rsidR="009F1D65" w:rsidRPr="00A05D59" w:rsidRDefault="005D1BD5" w:rsidP="005D1BD5">
            <w:pPr>
              <w:spacing w:before="120" w:after="120"/>
              <w:jc w:val="both"/>
              <w:rPr>
                <w:sz w:val="24"/>
                <w:szCs w:val="24"/>
              </w:rPr>
            </w:pPr>
            <w:r w:rsidRPr="00A05D59">
              <w:rPr>
                <w:sz w:val="24"/>
                <w:szCs w:val="24"/>
              </w:rPr>
              <w:t xml:space="preserve">Pentru atingerea obiectivelor menționate și, în special, pentru a facilita prestarea transfrontalieră de servicii și concurența între reparatorii de bunuri achiziționate de consumatori pe piața internă, </w:t>
            </w:r>
            <w:r w:rsidR="009F1D65" w:rsidRPr="00A05D59">
              <w:rPr>
                <w:sz w:val="24"/>
                <w:szCs w:val="24"/>
              </w:rPr>
              <w:t>au fost stabilite</w:t>
            </w:r>
            <w:r w:rsidRPr="00A05D59">
              <w:rPr>
                <w:sz w:val="24"/>
                <w:szCs w:val="24"/>
              </w:rPr>
              <w:t xml:space="preserve"> norme uniforme care să promoveze repararea bunurilor achiziționate de consumatori, atât în cadrul răspunderii vânzătorului stabilite prin Directiva (UE) 2019/771, cât și în afara acesteia. </w:t>
            </w:r>
          </w:p>
          <w:p w14:paraId="41EA424D" w14:textId="77777777" w:rsidR="009F1D65" w:rsidRPr="00A05D59" w:rsidRDefault="009F1D65" w:rsidP="005D1BD5">
            <w:pPr>
              <w:spacing w:before="120" w:after="120"/>
              <w:jc w:val="both"/>
              <w:rPr>
                <w:sz w:val="24"/>
                <w:szCs w:val="24"/>
              </w:rPr>
            </w:pPr>
            <w:r w:rsidRPr="00A05D59">
              <w:rPr>
                <w:sz w:val="24"/>
                <w:szCs w:val="24"/>
              </w:rPr>
              <w:t>Proiectul de lege</w:t>
            </w:r>
            <w:r w:rsidR="005D1BD5" w:rsidRPr="00A05D59">
              <w:rPr>
                <w:sz w:val="24"/>
                <w:szCs w:val="24"/>
              </w:rPr>
              <w:t xml:space="preserve"> instituie norme care să promoveze repararea și reutilizarea bunurilor achiziționate de consumatori în afara răspunderii vânzătorului stabilită prin Directiva (UE) 2019/771</w:t>
            </w:r>
            <w:r w:rsidRPr="00A05D59">
              <w:rPr>
                <w:sz w:val="24"/>
                <w:szCs w:val="24"/>
              </w:rPr>
              <w:t xml:space="preserve">. </w:t>
            </w:r>
            <w:r w:rsidR="005D1BD5" w:rsidRPr="00A05D59">
              <w:rPr>
                <w:sz w:val="24"/>
                <w:szCs w:val="24"/>
              </w:rPr>
              <w:t xml:space="preserve">Normele naționale obligatorii diferite în acest domeniu constituie obstacole reale sau potențiale în calea funcționării pieței interne, afectând în mod negativ tranzacțiile transfrontaliere ale operatorilor economici care acționează pe această piață. Operatorii respectivi ar putea să fie nevoiți să își adapteze serviciile pentru a se conforma diferitelor norme naționale obligatorii și să se confrunte cu costuri ale tranzacțiilor suplimentare pentru obținerea consultanței juridice necesare cu privire la cerințele prevăzute de legislația statului membru în care consumatorul își are reședința obișnuită, care se aplică în temeiul Regulamentului (CE) nr. 593/2008 al Parlamentului European și al Consiliului ( 5 ), precum și să își adapteze în consecință contractele pentru prestarea de servicii de reparare. Acest lucru va afecta, în special, întreprinderile mici și mijlocii, care sunt majoritare în sectorul reparațiilor. Fragmentarea juridică ar putea afecta, de asemenea, în mod negativ încrederea consumatorilor în serviciile de reparare transfrontaliere, din cauza incertitudinilor în ceea ce privește factorii care sunt importanți pentru decizia de a repara bunurile. </w:t>
            </w:r>
          </w:p>
          <w:p w14:paraId="52FE4DED" w14:textId="3C1F259B" w:rsidR="009F1D65" w:rsidRPr="00A05D59" w:rsidRDefault="005D1BD5" w:rsidP="005D1BD5">
            <w:pPr>
              <w:spacing w:before="120" w:after="120"/>
              <w:jc w:val="both"/>
              <w:rPr>
                <w:sz w:val="24"/>
                <w:szCs w:val="24"/>
              </w:rPr>
            </w:pPr>
            <w:r w:rsidRPr="00A05D59">
              <w:rPr>
                <w:sz w:val="24"/>
                <w:szCs w:val="24"/>
              </w:rPr>
              <w:t>Pentru a reduce numărul cazurilor de eliminare prematură a bunurilor viabile achiziționate de consumatori și pentru a-i încuraja pe aceștia să își utilizeze bunurile mai mult timp, este necesar să se consolideze dispozițiile referitoare la repararea bunurilor, permițându-le consumatorilor să încerce să obțină repararea, la prețuri accesibile, de către furnizorul de servicii de reparații pe care îl aleg. Repararea ar trebui să conducă la un consum durabil, întrucât ar putea genera mai puține deșeuri cauzate de bunurile eliminate, o cerere mai mică de resurse, inclusiv de energie, necesare în procesul de fabricație și de vânzare a bunurilor noi care înlocuiesc bunurile defecte, precum și mai puține</w:t>
            </w:r>
            <w:r w:rsidR="009F1D65" w:rsidRPr="00A05D59">
              <w:rPr>
                <w:sz w:val="24"/>
                <w:szCs w:val="24"/>
              </w:rPr>
              <w:t xml:space="preserve"> </w:t>
            </w:r>
            <w:r w:rsidR="00D90CE1">
              <w:rPr>
                <w:sz w:val="24"/>
                <w:szCs w:val="24"/>
              </w:rPr>
              <w:t>e</w:t>
            </w:r>
            <w:r w:rsidRPr="00A05D59">
              <w:rPr>
                <w:sz w:val="24"/>
                <w:szCs w:val="24"/>
              </w:rPr>
              <w:t xml:space="preserve">misii de gaze cu efect de seră. </w:t>
            </w:r>
          </w:p>
          <w:p w14:paraId="010061A8" w14:textId="77777777" w:rsidR="005D1BD5" w:rsidRPr="00A05D59" w:rsidRDefault="009F1D65" w:rsidP="005D1BD5">
            <w:pPr>
              <w:spacing w:before="120" w:after="120"/>
              <w:jc w:val="both"/>
              <w:rPr>
                <w:sz w:val="24"/>
                <w:szCs w:val="24"/>
              </w:rPr>
            </w:pPr>
            <w:r w:rsidRPr="00A05D59">
              <w:rPr>
                <w:sz w:val="24"/>
                <w:szCs w:val="24"/>
              </w:rPr>
              <w:t>Proiectul de lege</w:t>
            </w:r>
            <w:r w:rsidR="005D1BD5" w:rsidRPr="00A05D59">
              <w:rPr>
                <w:sz w:val="24"/>
                <w:szCs w:val="24"/>
              </w:rPr>
              <w:t xml:space="preserve"> promovează consumul durabil în vederea obținerii de beneficii</w:t>
            </w:r>
            <w:r w:rsidRPr="00A05D59">
              <w:rPr>
                <w:sz w:val="24"/>
                <w:szCs w:val="24"/>
              </w:rPr>
              <w:t xml:space="preserve"> </w:t>
            </w:r>
            <w:r w:rsidR="005D1BD5" w:rsidRPr="00A05D59">
              <w:rPr>
                <w:sz w:val="24"/>
                <w:szCs w:val="24"/>
              </w:rPr>
              <w:t>pentru mediu, prin promovarea unui ciclu de viață al bunurilor care include reutilizarea, repararea și</w:t>
            </w:r>
            <w:r w:rsidRPr="00A05D59">
              <w:rPr>
                <w:sz w:val="24"/>
                <w:szCs w:val="24"/>
              </w:rPr>
              <w:t xml:space="preserve"> </w:t>
            </w:r>
            <w:r w:rsidR="005D1BD5" w:rsidRPr="00A05D59">
              <w:rPr>
                <w:sz w:val="24"/>
                <w:szCs w:val="24"/>
              </w:rPr>
              <w:t>econdiționarea, aducând totodată beneficii consumatorilor prin evitarea costurilor asociate noilor achiziții p</w:t>
            </w:r>
            <w:r w:rsidRPr="00A05D59">
              <w:rPr>
                <w:sz w:val="24"/>
                <w:szCs w:val="24"/>
              </w:rPr>
              <w:t xml:space="preserve">e </w:t>
            </w:r>
            <w:r w:rsidR="005D1BD5" w:rsidRPr="00A05D59">
              <w:rPr>
                <w:sz w:val="24"/>
                <w:szCs w:val="24"/>
              </w:rPr>
              <w:t>termen scurt.</w:t>
            </w:r>
          </w:p>
          <w:p w14:paraId="06AF145F" w14:textId="77777777" w:rsidR="009F1D65" w:rsidRPr="00A05D59" w:rsidRDefault="005D1BD5" w:rsidP="009F1D65">
            <w:pPr>
              <w:spacing w:before="120" w:after="120"/>
              <w:jc w:val="both"/>
              <w:rPr>
                <w:sz w:val="24"/>
                <w:szCs w:val="24"/>
              </w:rPr>
            </w:pPr>
            <w:r w:rsidRPr="00A05D59">
              <w:rPr>
                <w:sz w:val="24"/>
                <w:szCs w:val="24"/>
              </w:rPr>
              <w:t xml:space="preserve"> În cadrul comportamentului consumatorilor se regăsește o mare varietate de aspecte. Atunci când consumatorul</w:t>
            </w:r>
            <w:r w:rsidR="009F1D65" w:rsidRPr="00A05D59">
              <w:rPr>
                <w:sz w:val="24"/>
                <w:szCs w:val="24"/>
              </w:rPr>
              <w:t xml:space="preserve"> </w:t>
            </w:r>
            <w:r w:rsidRPr="00A05D59">
              <w:rPr>
                <w:sz w:val="24"/>
                <w:szCs w:val="24"/>
              </w:rPr>
              <w:t>alege între reparare și achiziționarea unui bun nou, un rol esențial îl au criteriile de luare a deciziei precum caracterul</w:t>
            </w:r>
            <w:r w:rsidR="009F1D65" w:rsidRPr="00A05D59">
              <w:rPr>
                <w:sz w:val="24"/>
                <w:szCs w:val="24"/>
              </w:rPr>
              <w:t xml:space="preserve"> </w:t>
            </w:r>
            <w:r w:rsidRPr="00A05D59">
              <w:rPr>
                <w:sz w:val="24"/>
                <w:szCs w:val="24"/>
              </w:rPr>
              <w:t xml:space="preserve">convenabil din punct de vedere economic, durabilitatea, disponibilitatea și </w:t>
            </w:r>
            <w:r w:rsidRPr="00A05D59">
              <w:rPr>
                <w:sz w:val="24"/>
                <w:szCs w:val="24"/>
              </w:rPr>
              <w:lastRenderedPageBreak/>
              <w:t>proximitatea unui serviciu de reparare,</w:t>
            </w:r>
            <w:r w:rsidR="009F1D65" w:rsidRPr="00A05D59">
              <w:rPr>
                <w:sz w:val="24"/>
                <w:szCs w:val="24"/>
              </w:rPr>
              <w:t xml:space="preserve"> </w:t>
            </w:r>
            <w:r w:rsidRPr="00A05D59">
              <w:rPr>
                <w:sz w:val="24"/>
                <w:szCs w:val="24"/>
              </w:rPr>
              <w:t>precum și timpul necesar pentru reparare. Diverse obstacole ar putea să îi împiedice pe consumatori să opteze</w:t>
            </w:r>
            <w:r w:rsidR="009F1D65" w:rsidRPr="00A05D59">
              <w:rPr>
                <w:sz w:val="24"/>
                <w:szCs w:val="24"/>
              </w:rPr>
              <w:t xml:space="preserve"> </w:t>
            </w:r>
            <w:r w:rsidRPr="00A05D59">
              <w:rPr>
                <w:sz w:val="24"/>
                <w:szCs w:val="24"/>
              </w:rPr>
              <w:t>pentru reparare. Prezenta directivă urmărește să remedieze unele dintre aceste obstacole.</w:t>
            </w:r>
          </w:p>
          <w:p w14:paraId="05AD25AE" w14:textId="77777777" w:rsidR="005D1BD5" w:rsidRPr="00A05D59" w:rsidRDefault="00E90AAF" w:rsidP="005D1BD5">
            <w:pPr>
              <w:spacing w:before="120" w:after="120"/>
              <w:jc w:val="both"/>
              <w:rPr>
                <w:sz w:val="24"/>
                <w:szCs w:val="24"/>
              </w:rPr>
            </w:pPr>
            <w:r w:rsidRPr="00A05D59">
              <w:rPr>
                <w:sz w:val="24"/>
                <w:szCs w:val="24"/>
              </w:rPr>
              <w:t>Proiectul de lege transpune cerințele din Directivă care</w:t>
            </w:r>
            <w:r w:rsidR="005D1BD5" w:rsidRPr="00A05D59">
              <w:rPr>
                <w:sz w:val="24"/>
                <w:szCs w:val="24"/>
              </w:rPr>
              <w:t xml:space="preserve"> urmăre</w:t>
            </w:r>
            <w:r w:rsidRPr="00A05D59">
              <w:rPr>
                <w:sz w:val="24"/>
                <w:szCs w:val="24"/>
              </w:rPr>
              <w:t>sc</w:t>
            </w:r>
            <w:r w:rsidR="005D1BD5" w:rsidRPr="00A05D59">
              <w:rPr>
                <w:sz w:val="24"/>
                <w:szCs w:val="24"/>
              </w:rPr>
              <w:t xml:space="preserve"> să</w:t>
            </w:r>
            <w:r w:rsidRPr="00A05D59">
              <w:rPr>
                <w:sz w:val="24"/>
                <w:szCs w:val="24"/>
              </w:rPr>
              <w:t xml:space="preserve"> </w:t>
            </w:r>
            <w:r w:rsidR="005D1BD5" w:rsidRPr="00A05D59">
              <w:rPr>
                <w:sz w:val="24"/>
                <w:szCs w:val="24"/>
              </w:rPr>
              <w:t>completeze respectivele cerințe privind oferta și cererea, prin promovarea reparării și a reutilizării în etapa</w:t>
            </w:r>
            <w:r w:rsidRPr="00A05D59">
              <w:rPr>
                <w:sz w:val="24"/>
                <w:szCs w:val="24"/>
              </w:rPr>
              <w:t xml:space="preserve"> </w:t>
            </w:r>
            <w:r w:rsidR="005D1BD5" w:rsidRPr="00A05D59">
              <w:rPr>
                <w:sz w:val="24"/>
                <w:szCs w:val="24"/>
              </w:rPr>
              <w:t>postvânzare în afara răspunderii vânzătorului. În plus, Directiva (UE) 2019/771 ar trebui să fie modificată pentru</w:t>
            </w:r>
            <w:r w:rsidRPr="00A05D59">
              <w:rPr>
                <w:sz w:val="24"/>
                <w:szCs w:val="24"/>
              </w:rPr>
              <w:t xml:space="preserve"> </w:t>
            </w:r>
            <w:r w:rsidR="005D1BD5" w:rsidRPr="00A05D59">
              <w:rPr>
                <w:sz w:val="24"/>
                <w:szCs w:val="24"/>
              </w:rPr>
              <w:t>a promova repararea în cadrul răspunderii vânzătorului. Prin urmare, prezenta directivă urmărește, în contextul</w:t>
            </w:r>
            <w:r w:rsidRPr="00A05D59">
              <w:rPr>
                <w:sz w:val="24"/>
                <w:szCs w:val="24"/>
              </w:rPr>
              <w:t xml:space="preserve"> </w:t>
            </w:r>
            <w:r w:rsidR="005D1BD5" w:rsidRPr="00A05D59">
              <w:rPr>
                <w:sz w:val="24"/>
                <w:szCs w:val="24"/>
              </w:rPr>
              <w:t>Pactului verde european, obiectivele de promovare a unui consum mai durabil, a unei economii circulare și</w:t>
            </w:r>
            <w:r w:rsidRPr="00A05D59">
              <w:rPr>
                <w:sz w:val="24"/>
                <w:szCs w:val="24"/>
              </w:rPr>
              <w:t xml:space="preserve"> </w:t>
            </w:r>
            <w:r w:rsidR="005D1BD5" w:rsidRPr="00A05D59">
              <w:rPr>
                <w:sz w:val="24"/>
                <w:szCs w:val="24"/>
              </w:rPr>
              <w:t>a tranziției verzi.</w:t>
            </w:r>
          </w:p>
          <w:p w14:paraId="5E8B46C8" w14:textId="77777777" w:rsidR="00243B47" w:rsidRPr="00A05D59" w:rsidRDefault="00E90AAF" w:rsidP="00243B47">
            <w:pPr>
              <w:spacing w:before="120" w:after="120"/>
              <w:jc w:val="both"/>
              <w:rPr>
                <w:sz w:val="24"/>
                <w:szCs w:val="24"/>
              </w:rPr>
            </w:pPr>
            <w:r w:rsidRPr="00A05D59">
              <w:rPr>
                <w:sz w:val="24"/>
                <w:szCs w:val="24"/>
              </w:rPr>
              <w:t>Proiectul de</w:t>
            </w:r>
            <w:r w:rsidR="005D1BD5" w:rsidRPr="00A05D59">
              <w:rPr>
                <w:sz w:val="24"/>
                <w:szCs w:val="24"/>
              </w:rPr>
              <w:t xml:space="preserve"> </w:t>
            </w:r>
            <w:r w:rsidR="00A05D59" w:rsidRPr="00A05D59">
              <w:rPr>
                <w:sz w:val="24"/>
                <w:szCs w:val="24"/>
              </w:rPr>
              <w:t xml:space="preserve">lege </w:t>
            </w:r>
            <w:r w:rsidR="005D1BD5" w:rsidRPr="00A05D59">
              <w:rPr>
                <w:sz w:val="24"/>
                <w:szCs w:val="24"/>
              </w:rPr>
              <w:t>regleme</w:t>
            </w:r>
            <w:r w:rsidR="00A05D59" w:rsidRPr="00A05D59">
              <w:rPr>
                <w:sz w:val="24"/>
                <w:szCs w:val="24"/>
              </w:rPr>
              <w:t>ază r</w:t>
            </w:r>
            <w:r w:rsidR="00243B47" w:rsidRPr="00A05D59">
              <w:rPr>
                <w:sz w:val="24"/>
                <w:szCs w:val="24"/>
              </w:rPr>
              <w:t>esponsabilitățile producătorilor</w:t>
            </w:r>
            <w:r w:rsidR="00A05D59" w:rsidRPr="00A05D59">
              <w:rPr>
                <w:sz w:val="24"/>
                <w:szCs w:val="24"/>
              </w:rPr>
              <w:t>, precum</w:t>
            </w:r>
            <w:r w:rsidR="00243B47" w:rsidRPr="00A05D59">
              <w:rPr>
                <w:sz w:val="24"/>
                <w:szCs w:val="24"/>
              </w:rPr>
              <w:t>:</w:t>
            </w:r>
          </w:p>
          <w:p w14:paraId="2027628D" w14:textId="31F712E5"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repare, la cerere, bunuri precum mașini de spălat și telefoane mobile care conțin dispoziții privind repararea</w:t>
            </w:r>
            <w:r w:rsidR="003A3DD0">
              <w:rPr>
                <w:sz w:val="24"/>
                <w:szCs w:val="24"/>
              </w:rPr>
              <w:t xml:space="preserve">, </w:t>
            </w:r>
            <w:r w:rsidR="00243B47" w:rsidRPr="00A05D59">
              <w:rPr>
                <w:sz w:val="24"/>
                <w:szCs w:val="24"/>
              </w:rPr>
              <w:t>reglementate de legislația existentă din anexa II, cu excepția cazului în care repararea este imposibilă;</w:t>
            </w:r>
          </w:p>
          <w:p w14:paraId="21FC8EFF"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efectueze reparația gratuit sau la un preț rezonabil, într-un termen rezonabil;</w:t>
            </w:r>
          </w:p>
          <w:p w14:paraId="710682F5" w14:textId="2F624DDD"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pună la dispoziție, la un preț rezonabil, piesele de schimb sau uneltele la care sunt obligați să ofere acces reparatorilor</w:t>
            </w:r>
            <w:r w:rsidR="003A3DD0">
              <w:rPr>
                <w:sz w:val="24"/>
                <w:szCs w:val="24"/>
              </w:rPr>
              <w:t>,</w:t>
            </w:r>
            <w:r w:rsidR="00243B47" w:rsidRPr="00A05D59">
              <w:rPr>
                <w:sz w:val="24"/>
                <w:szCs w:val="24"/>
              </w:rPr>
              <w:t xml:space="preserve"> pentru produsele enumerate în anexa II;</w:t>
            </w:r>
          </w:p>
          <w:p w14:paraId="21DAE54B"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asigure faptul că consumatorii au acces gratuit, prin intermediul unui site web, la prețurile orientative care sunt percepute pentru repararea produselor enumerate în anexa II;</w:t>
            </w:r>
          </w:p>
          <w:p w14:paraId="659B447D"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furnizeze informații gratuite, clare și ușor accesibile cu privire la serviciile lor de reparații;</w:t>
            </w:r>
          </w:p>
          <w:p w14:paraId="109F4BE0"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nu utilizeze motive contractuale, legate de hardware, software sau de altă natură, cum ar fi reparații anterioare efectuate de o altă parte, ca obstacole în calea reparației, fără o justificare legitimă și obiectivă.</w:t>
            </w:r>
          </w:p>
          <w:p w14:paraId="4A2E8965" w14:textId="49DD4269" w:rsidR="00243B47" w:rsidRPr="00A05D59" w:rsidRDefault="00243B47" w:rsidP="00243B47">
            <w:pPr>
              <w:spacing w:before="120" w:after="120"/>
              <w:jc w:val="both"/>
              <w:rPr>
                <w:sz w:val="24"/>
                <w:szCs w:val="24"/>
              </w:rPr>
            </w:pPr>
            <w:r w:rsidRPr="00A05D59">
              <w:rPr>
                <w:sz w:val="24"/>
                <w:szCs w:val="24"/>
              </w:rPr>
              <w:t>Directiva creează o platformă online europeană care are scopul de a ajuta consumatorii să găsească reparatori. Statele membre ale UE pot decide să facă parte din platforma europeană prin crearea unei secțiuni naționale dedicate pe platformă sau să creeze în schimb platforme naționale de reparații</w:t>
            </w:r>
            <w:r w:rsidR="003A3DD0">
              <w:rPr>
                <w:sz w:val="24"/>
                <w:szCs w:val="24"/>
              </w:rPr>
              <w:t xml:space="preserve">, </w:t>
            </w:r>
            <w:r w:rsidRPr="00A05D59">
              <w:rPr>
                <w:sz w:val="24"/>
                <w:szCs w:val="24"/>
              </w:rPr>
              <w:t>în acest din urmă caz, linkurile către platformele naționale vor fi furnizate pe platforma europeană online. Înregistrarea pe platformă este gratuită și voluntară.</w:t>
            </w:r>
          </w:p>
          <w:p w14:paraId="7659CA4B" w14:textId="6BBEA07C" w:rsidR="00243B47" w:rsidRPr="00A05D59" w:rsidRDefault="00A05D59" w:rsidP="00243B47">
            <w:pPr>
              <w:spacing w:before="120" w:after="120"/>
              <w:jc w:val="both"/>
              <w:rPr>
                <w:sz w:val="24"/>
                <w:szCs w:val="24"/>
              </w:rPr>
            </w:pPr>
            <w:r>
              <w:rPr>
                <w:sz w:val="24"/>
                <w:szCs w:val="24"/>
              </w:rPr>
              <w:t>Proiectul de</w:t>
            </w:r>
            <w:r w:rsidR="003A3DD0">
              <w:rPr>
                <w:sz w:val="24"/>
                <w:szCs w:val="24"/>
              </w:rPr>
              <w:t xml:space="preserve"> </w:t>
            </w:r>
            <w:r>
              <w:rPr>
                <w:sz w:val="24"/>
                <w:szCs w:val="24"/>
              </w:rPr>
              <w:t xml:space="preserve">lege creează cadrul legal </w:t>
            </w:r>
            <w:r w:rsidR="00243B47" w:rsidRPr="00A05D59">
              <w:rPr>
                <w:sz w:val="24"/>
                <w:szCs w:val="24"/>
              </w:rPr>
              <w:t>pentru înregistrarea reparatorilor pe platformă</w:t>
            </w:r>
            <w:r>
              <w:rPr>
                <w:sz w:val="24"/>
                <w:szCs w:val="24"/>
              </w:rPr>
              <w:t>.</w:t>
            </w:r>
            <w:r w:rsidR="003A3DD0">
              <w:rPr>
                <w:sz w:val="24"/>
                <w:szCs w:val="24"/>
              </w:rPr>
              <w:t xml:space="preserve"> </w:t>
            </w:r>
            <w:r>
              <w:rPr>
                <w:sz w:val="24"/>
                <w:szCs w:val="24"/>
              </w:rPr>
              <w:t>Prin urmare se permite</w:t>
            </w:r>
            <w:r w:rsidR="00243B47" w:rsidRPr="00A05D59">
              <w:rPr>
                <w:sz w:val="24"/>
                <w:szCs w:val="24"/>
              </w:rPr>
              <w:t xml:space="preserve"> înregistrarea altor entități vânzători de bunuri recondiționate, cumpărători de bunuri defecte în vederea recondiționării și inițiative de reparare aflate sub responsabilitatea comunității, </w:t>
            </w:r>
            <w:r>
              <w:rPr>
                <w:sz w:val="24"/>
                <w:szCs w:val="24"/>
              </w:rPr>
              <w:t>fiind stabil</w:t>
            </w:r>
            <w:r w:rsidR="00D43B87">
              <w:rPr>
                <w:sz w:val="24"/>
                <w:szCs w:val="24"/>
              </w:rPr>
              <w:t>i</w:t>
            </w:r>
            <w:r>
              <w:rPr>
                <w:sz w:val="24"/>
                <w:szCs w:val="24"/>
              </w:rPr>
              <w:t>te</w:t>
            </w:r>
            <w:r w:rsidR="00243B47" w:rsidRPr="00A05D59">
              <w:rPr>
                <w:sz w:val="24"/>
                <w:szCs w:val="24"/>
              </w:rPr>
              <w:t xml:space="preserve"> condiții de acces pentru înregistrarea pe platformă.</w:t>
            </w:r>
          </w:p>
          <w:p w14:paraId="6DB2A0F2" w14:textId="77777777" w:rsidR="00243B47" w:rsidRPr="00A05D59" w:rsidRDefault="00243B47" w:rsidP="00243B47">
            <w:pPr>
              <w:spacing w:before="120" w:after="120"/>
              <w:jc w:val="both"/>
              <w:rPr>
                <w:sz w:val="24"/>
                <w:szCs w:val="24"/>
              </w:rPr>
            </w:pPr>
            <w:r w:rsidRPr="00A05D59">
              <w:rPr>
                <w:sz w:val="24"/>
                <w:szCs w:val="24"/>
              </w:rPr>
              <w:t>În cazul în care se optează pentru repararea ca măsură corectivă pentru a aduce bunurile în conformitate, Directiva (UE) 2024/1799 modifică Directiva (UE) 2019/771 privind contractele de vânzare de bunuri, impunând prelungirea perioadei de garanție cu un an.</w:t>
            </w:r>
          </w:p>
          <w:p w14:paraId="78D54DEF" w14:textId="77777777" w:rsidR="00243B47" w:rsidRPr="00A05D59" w:rsidRDefault="00243B47" w:rsidP="00243B47">
            <w:pPr>
              <w:spacing w:before="120" w:after="120"/>
              <w:jc w:val="both"/>
              <w:rPr>
                <w:sz w:val="24"/>
                <w:szCs w:val="24"/>
              </w:rPr>
            </w:pPr>
            <w:r w:rsidRPr="00A05D59">
              <w:rPr>
                <w:sz w:val="24"/>
                <w:szCs w:val="24"/>
              </w:rPr>
              <w:t>Înainte să furnizeze măsura corectivă pentru a aduce bunurile în conformitate, vânzătorul trebuie să informeze consumatorii cu privire la dreptul acestora de a alege între reparare și înlocuire, precum și cu privire la eventuala prelungire a perioadei de garanție.</w:t>
            </w:r>
          </w:p>
          <w:p w14:paraId="2A1BCAED" w14:textId="58907FFB" w:rsidR="00243B47" w:rsidRPr="00A05D59" w:rsidRDefault="00A05D59" w:rsidP="00243B47">
            <w:pPr>
              <w:spacing w:before="120" w:after="120"/>
              <w:jc w:val="both"/>
              <w:rPr>
                <w:sz w:val="24"/>
                <w:szCs w:val="24"/>
                <w:lang w:val="en-US"/>
              </w:rPr>
            </w:pPr>
            <w:r>
              <w:rPr>
                <w:sz w:val="24"/>
                <w:szCs w:val="24"/>
              </w:rPr>
              <w:t>Ca norme gen</w:t>
            </w:r>
            <w:r w:rsidR="00D43B87">
              <w:rPr>
                <w:sz w:val="24"/>
                <w:szCs w:val="24"/>
              </w:rPr>
              <w:t>e</w:t>
            </w:r>
            <w:r>
              <w:rPr>
                <w:sz w:val="24"/>
                <w:szCs w:val="24"/>
              </w:rPr>
              <w:t>rale, proiectul de lege</w:t>
            </w:r>
            <w:r>
              <w:rPr>
                <w:sz w:val="24"/>
                <w:szCs w:val="24"/>
                <w:lang w:val="en-US"/>
              </w:rPr>
              <w:t>:</w:t>
            </w:r>
          </w:p>
          <w:p w14:paraId="0744BEBE"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asigur</w:t>
            </w:r>
            <w:r>
              <w:rPr>
                <w:sz w:val="24"/>
                <w:szCs w:val="24"/>
              </w:rPr>
              <w:t>ă</w:t>
            </w:r>
            <w:r w:rsidR="00243B47" w:rsidRPr="00A05D59">
              <w:rPr>
                <w:sz w:val="24"/>
                <w:szCs w:val="24"/>
              </w:rPr>
              <w:t xml:space="preserve"> </w:t>
            </w:r>
            <w:r w:rsidRPr="00A05D59">
              <w:rPr>
                <w:sz w:val="24"/>
                <w:szCs w:val="24"/>
              </w:rPr>
              <w:t>acces</w:t>
            </w:r>
            <w:r>
              <w:rPr>
                <w:sz w:val="24"/>
                <w:szCs w:val="24"/>
              </w:rPr>
              <w:t>ul</w:t>
            </w:r>
            <w:r w:rsidRPr="00A05D59">
              <w:rPr>
                <w:sz w:val="24"/>
                <w:szCs w:val="24"/>
              </w:rPr>
              <w:t xml:space="preserve"> la justiție pentru a aplica legislația </w:t>
            </w:r>
            <w:r w:rsidR="00243B47" w:rsidRPr="00A05D59">
              <w:rPr>
                <w:sz w:val="24"/>
                <w:szCs w:val="24"/>
              </w:rPr>
              <w:t>organismel</w:t>
            </w:r>
            <w:r>
              <w:rPr>
                <w:sz w:val="24"/>
                <w:szCs w:val="24"/>
              </w:rPr>
              <w:t>or</w:t>
            </w:r>
            <w:r w:rsidR="00243B47" w:rsidRPr="00A05D59">
              <w:rPr>
                <w:sz w:val="24"/>
                <w:szCs w:val="24"/>
              </w:rPr>
              <w:t xml:space="preserve"> publice și organizațiil</w:t>
            </w:r>
            <w:r>
              <w:rPr>
                <w:sz w:val="24"/>
                <w:szCs w:val="24"/>
              </w:rPr>
              <w:t>or</w:t>
            </w:r>
            <w:r w:rsidR="00243B47" w:rsidRPr="00A05D59">
              <w:rPr>
                <w:sz w:val="24"/>
                <w:szCs w:val="24"/>
              </w:rPr>
              <w:t xml:space="preserve"> de consumatori, de mediu sau profesionale;</w:t>
            </w:r>
          </w:p>
          <w:p w14:paraId="73562DED"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furnize</w:t>
            </w:r>
            <w:r>
              <w:rPr>
                <w:sz w:val="24"/>
                <w:szCs w:val="24"/>
              </w:rPr>
              <w:t>ază</w:t>
            </w:r>
            <w:r w:rsidR="00243B47" w:rsidRPr="00A05D59">
              <w:rPr>
                <w:sz w:val="24"/>
                <w:szCs w:val="24"/>
              </w:rPr>
              <w:t xml:space="preserve"> publicului informații cu privire la drepturile consumatorilor în temeiul directivei;</w:t>
            </w:r>
          </w:p>
          <w:p w14:paraId="4C2CD20F"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introduc</w:t>
            </w:r>
            <w:r>
              <w:rPr>
                <w:sz w:val="24"/>
                <w:szCs w:val="24"/>
              </w:rPr>
              <w:t>e</w:t>
            </w:r>
            <w:r w:rsidR="00243B47" w:rsidRPr="00A05D59">
              <w:rPr>
                <w:sz w:val="24"/>
                <w:szCs w:val="24"/>
              </w:rPr>
              <w:t xml:space="preserve"> cel puțin o măsură pentru promovarea reparațiilor;</w:t>
            </w:r>
          </w:p>
          <w:p w14:paraId="6E83781E"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adopt</w:t>
            </w:r>
            <w:r>
              <w:rPr>
                <w:sz w:val="24"/>
                <w:szCs w:val="24"/>
              </w:rPr>
              <w:t>ă</w:t>
            </w:r>
            <w:r w:rsidR="00243B47" w:rsidRPr="00A05D59">
              <w:rPr>
                <w:sz w:val="24"/>
                <w:szCs w:val="24"/>
              </w:rPr>
              <w:t xml:space="preserve"> sancțiuni adecvate pentru încălcarea legilor.</w:t>
            </w:r>
          </w:p>
          <w:p w14:paraId="44A3FB9A" w14:textId="6BB18AA9" w:rsidR="00E26F01" w:rsidRPr="00A05D59" w:rsidRDefault="00243B47" w:rsidP="00243B47">
            <w:pPr>
              <w:spacing w:before="120" w:after="120"/>
              <w:jc w:val="both"/>
              <w:rPr>
                <w:sz w:val="24"/>
                <w:szCs w:val="24"/>
              </w:rPr>
            </w:pPr>
            <w:r w:rsidRPr="00A05D59">
              <w:rPr>
                <w:sz w:val="24"/>
                <w:szCs w:val="24"/>
              </w:rPr>
              <w:t>Reparatorii, la cerere, pot furniza consumatorilor formularul gratuit, într-un termen rezonabil și înainte de semnarea contractului de reparație</w:t>
            </w:r>
            <w:r w:rsidR="00A05D59">
              <w:rPr>
                <w:sz w:val="24"/>
                <w:szCs w:val="24"/>
              </w:rPr>
              <w:t>.</w:t>
            </w:r>
            <w:r w:rsidR="00D43B87">
              <w:rPr>
                <w:sz w:val="24"/>
                <w:szCs w:val="24"/>
              </w:rPr>
              <w:t xml:space="preserve"> </w:t>
            </w:r>
            <w:r w:rsidRPr="00A05D59">
              <w:rPr>
                <w:sz w:val="24"/>
                <w:szCs w:val="24"/>
              </w:rPr>
              <w:t>Formularul completat este valabil pentru o perioadă minimă de 30 de zile și conține detalii despre reparator, lucrarea efectuată, costul și durata acesteia, precum și alte informații practice</w:t>
            </w:r>
            <w:r w:rsidR="00D43B87">
              <w:rPr>
                <w:sz w:val="24"/>
                <w:szCs w:val="24"/>
              </w:rPr>
              <w:t xml:space="preserve">, </w:t>
            </w:r>
            <w:r w:rsidRPr="00A05D59">
              <w:rPr>
                <w:sz w:val="24"/>
                <w:szCs w:val="24"/>
              </w:rPr>
              <w:t>anexa I conține modelul formularului.</w:t>
            </w:r>
          </w:p>
        </w:tc>
      </w:tr>
      <w:tr w:rsidR="00A62022" w:rsidRPr="00A05D59" w14:paraId="0F41E082" w14:textId="77777777" w:rsidTr="00D47ECA">
        <w:trPr>
          <w:gridAfter w:val="1"/>
          <w:wAfter w:w="27" w:type="dxa"/>
          <w:jc w:val="center"/>
        </w:trPr>
        <w:tc>
          <w:tcPr>
            <w:tcW w:w="10335" w:type="dxa"/>
            <w:gridSpan w:val="7"/>
          </w:tcPr>
          <w:p w14:paraId="072D146B" w14:textId="77777777" w:rsidR="00A62022" w:rsidRPr="00A05D59" w:rsidRDefault="00A62022" w:rsidP="00D81EF2">
            <w:pPr>
              <w:rPr>
                <w:b/>
                <w:bCs/>
                <w:sz w:val="24"/>
                <w:szCs w:val="24"/>
                <w:lang w:eastAsia="en-US"/>
              </w:rPr>
            </w:pPr>
            <w:r w:rsidRPr="00A05D59">
              <w:rPr>
                <w:b/>
                <w:bCs/>
                <w:sz w:val="24"/>
                <w:szCs w:val="24"/>
                <w:lang w:eastAsia="en-US"/>
              </w:rPr>
              <w:lastRenderedPageBreak/>
              <w:t>2.4. Alte informații</w:t>
            </w:r>
            <w:r w:rsidR="001F0E0E" w:rsidRPr="00A05D59">
              <w:rPr>
                <w:b/>
                <w:bCs/>
                <w:sz w:val="24"/>
                <w:szCs w:val="24"/>
                <w:lang w:eastAsia="en-US"/>
              </w:rPr>
              <w:t>:</w:t>
            </w:r>
          </w:p>
          <w:p w14:paraId="677504B1" w14:textId="77777777" w:rsidR="00A62022" w:rsidRPr="00A05D59" w:rsidRDefault="00EA61C9" w:rsidP="00D81EF2">
            <w:pPr>
              <w:rPr>
                <w:sz w:val="24"/>
                <w:szCs w:val="24"/>
                <w:lang w:eastAsia="en-US"/>
              </w:rPr>
            </w:pPr>
            <w:r w:rsidRPr="00A05D59">
              <w:rPr>
                <w:snapToGrid w:val="0"/>
                <w:sz w:val="24"/>
                <w:szCs w:val="24"/>
              </w:rPr>
              <w:t>Nu au fost identificate</w:t>
            </w:r>
            <w:r w:rsidR="0019444D" w:rsidRPr="00A05D59">
              <w:rPr>
                <w:snapToGrid w:val="0"/>
                <w:sz w:val="24"/>
                <w:szCs w:val="24"/>
              </w:rPr>
              <w:t>.</w:t>
            </w:r>
          </w:p>
        </w:tc>
      </w:tr>
      <w:tr w:rsidR="00A62022" w:rsidRPr="00A05D59" w14:paraId="4D9D8BCA" w14:textId="77777777" w:rsidTr="00D47ECA">
        <w:trPr>
          <w:gridAfter w:val="1"/>
          <w:wAfter w:w="27" w:type="dxa"/>
          <w:jc w:val="center"/>
        </w:trPr>
        <w:tc>
          <w:tcPr>
            <w:tcW w:w="10335" w:type="dxa"/>
            <w:gridSpan w:val="7"/>
          </w:tcPr>
          <w:p w14:paraId="6D4E8569" w14:textId="77777777" w:rsidR="00A62022" w:rsidRPr="00A05D59" w:rsidRDefault="00A62022" w:rsidP="00D81EF2">
            <w:pPr>
              <w:jc w:val="center"/>
              <w:rPr>
                <w:b/>
                <w:sz w:val="24"/>
                <w:szCs w:val="24"/>
                <w:lang w:eastAsia="en-US"/>
              </w:rPr>
            </w:pPr>
            <w:r w:rsidRPr="00A05D59">
              <w:rPr>
                <w:b/>
                <w:sz w:val="24"/>
                <w:szCs w:val="24"/>
                <w:lang w:eastAsia="en-US"/>
              </w:rPr>
              <w:t>Secțiunea a 3 –a</w:t>
            </w:r>
          </w:p>
          <w:p w14:paraId="7860F119" w14:textId="77777777" w:rsidR="00CA593D" w:rsidRPr="00A05D59" w:rsidRDefault="00A62022" w:rsidP="003D7731">
            <w:pPr>
              <w:spacing w:after="120"/>
              <w:jc w:val="center"/>
              <w:rPr>
                <w:b/>
                <w:sz w:val="24"/>
                <w:szCs w:val="24"/>
                <w:lang w:eastAsia="en-US"/>
              </w:rPr>
            </w:pPr>
            <w:r w:rsidRPr="00A05D59">
              <w:rPr>
                <w:b/>
                <w:sz w:val="24"/>
                <w:szCs w:val="24"/>
                <w:lang w:eastAsia="en-US"/>
              </w:rPr>
              <w:t>Impactul socioeconomic al actului normativ</w:t>
            </w:r>
          </w:p>
          <w:p w14:paraId="3A0E31E9" w14:textId="77777777" w:rsidR="00DE4486" w:rsidRPr="00A05D59" w:rsidRDefault="00DE4486" w:rsidP="003D7731">
            <w:pPr>
              <w:spacing w:after="120"/>
              <w:jc w:val="center"/>
              <w:rPr>
                <w:sz w:val="24"/>
                <w:szCs w:val="24"/>
                <w:lang w:eastAsia="en-US"/>
              </w:rPr>
            </w:pPr>
          </w:p>
        </w:tc>
      </w:tr>
      <w:tr w:rsidR="00A62022" w:rsidRPr="00A05D59" w14:paraId="3276239D" w14:textId="77777777" w:rsidTr="00D47ECA">
        <w:trPr>
          <w:gridAfter w:val="1"/>
          <w:wAfter w:w="27" w:type="dxa"/>
          <w:jc w:val="center"/>
        </w:trPr>
        <w:tc>
          <w:tcPr>
            <w:tcW w:w="10335" w:type="dxa"/>
            <w:gridSpan w:val="7"/>
          </w:tcPr>
          <w:p w14:paraId="30089D8C"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3.1. Descrierea generală a beneficiilor și costurilor estimate ca urmare a intrării în vigoare a actului normativ</w:t>
            </w:r>
            <w:r w:rsidR="004B0F62" w:rsidRPr="00A05D59">
              <w:rPr>
                <w:rFonts w:eastAsia="Calibri"/>
                <w:b/>
                <w:bCs/>
                <w:sz w:val="24"/>
                <w:szCs w:val="24"/>
                <w:lang w:eastAsia="en-US"/>
              </w:rPr>
              <w:t>:</w:t>
            </w:r>
          </w:p>
          <w:p w14:paraId="5590E38B" w14:textId="77777777" w:rsidR="00B70B27" w:rsidRPr="00A05D59" w:rsidRDefault="00A62022" w:rsidP="003D7731">
            <w:pPr>
              <w:rPr>
                <w:b/>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A62022" w:rsidRPr="00A05D59" w14:paraId="21ADF1C5" w14:textId="77777777" w:rsidTr="00D47ECA">
        <w:trPr>
          <w:gridAfter w:val="1"/>
          <w:wAfter w:w="27" w:type="dxa"/>
          <w:jc w:val="center"/>
        </w:trPr>
        <w:tc>
          <w:tcPr>
            <w:tcW w:w="10335" w:type="dxa"/>
            <w:gridSpan w:val="7"/>
          </w:tcPr>
          <w:p w14:paraId="794108E3"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3.2. Impactul social</w:t>
            </w:r>
            <w:r w:rsidR="004B0F62" w:rsidRPr="00A05D59">
              <w:rPr>
                <w:rFonts w:eastAsia="Calibri"/>
                <w:b/>
                <w:bCs/>
                <w:sz w:val="24"/>
                <w:szCs w:val="24"/>
                <w:lang w:eastAsia="en-US"/>
              </w:rPr>
              <w:t>:</w:t>
            </w:r>
          </w:p>
          <w:p w14:paraId="4EFED7E9" w14:textId="77777777" w:rsidR="00B70B27" w:rsidRPr="00A05D59" w:rsidRDefault="00EA61C9" w:rsidP="003D7731">
            <w:pPr>
              <w:rPr>
                <w:rFonts w:eastAsia="Calibri"/>
                <w:sz w:val="24"/>
                <w:szCs w:val="24"/>
                <w:lang w:eastAsia="en-US"/>
              </w:rPr>
            </w:pPr>
            <w:r w:rsidRPr="00A05D59">
              <w:rPr>
                <w:sz w:val="24"/>
                <w:szCs w:val="24"/>
                <w:lang w:eastAsia="en-US"/>
              </w:rPr>
              <w:t xml:space="preserve"> </w:t>
            </w:r>
            <w:r w:rsidR="00584443" w:rsidRPr="00A05D59">
              <w:rPr>
                <w:sz w:val="24"/>
                <w:szCs w:val="24"/>
              </w:rPr>
              <w:t>Proiectul de act normativ nu se referă la acest subiect</w:t>
            </w:r>
            <w:r w:rsidRPr="00A05D59">
              <w:rPr>
                <w:rFonts w:eastAsia="Calibri"/>
                <w:sz w:val="24"/>
                <w:szCs w:val="24"/>
              </w:rPr>
              <w:t>.</w:t>
            </w:r>
          </w:p>
        </w:tc>
      </w:tr>
      <w:tr w:rsidR="00A62022" w:rsidRPr="00A05D59" w14:paraId="7D1BEA7E" w14:textId="77777777" w:rsidTr="00D47ECA">
        <w:trPr>
          <w:gridAfter w:val="1"/>
          <w:wAfter w:w="27" w:type="dxa"/>
          <w:jc w:val="center"/>
        </w:trPr>
        <w:tc>
          <w:tcPr>
            <w:tcW w:w="10335" w:type="dxa"/>
            <w:gridSpan w:val="7"/>
          </w:tcPr>
          <w:p w14:paraId="2920CA2A"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3.3. Impactul asupra drepturilor și libertăților fundamentale ale omului</w:t>
            </w:r>
            <w:r w:rsidR="004B0F62" w:rsidRPr="00A05D59">
              <w:rPr>
                <w:rFonts w:eastAsia="Calibri"/>
                <w:b/>
                <w:bCs/>
                <w:sz w:val="24"/>
                <w:szCs w:val="24"/>
                <w:lang w:eastAsia="en-US"/>
              </w:rPr>
              <w:t>:</w:t>
            </w:r>
          </w:p>
          <w:p w14:paraId="69F87E8E" w14:textId="77777777" w:rsidR="00B70B27" w:rsidRPr="00A05D59" w:rsidRDefault="00A62022" w:rsidP="003D7731">
            <w:pPr>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A62022" w:rsidRPr="00A05D59" w14:paraId="7698A0E9" w14:textId="77777777" w:rsidTr="00D47ECA">
        <w:trPr>
          <w:gridAfter w:val="1"/>
          <w:wAfter w:w="27" w:type="dxa"/>
          <w:jc w:val="center"/>
        </w:trPr>
        <w:tc>
          <w:tcPr>
            <w:tcW w:w="10335" w:type="dxa"/>
            <w:gridSpan w:val="7"/>
          </w:tcPr>
          <w:p w14:paraId="32FFECF8" w14:textId="77777777" w:rsidR="00A62022" w:rsidRPr="00A05D59" w:rsidRDefault="00A62022" w:rsidP="00D81EF2">
            <w:pPr>
              <w:jc w:val="both"/>
              <w:rPr>
                <w:b/>
                <w:bCs/>
                <w:sz w:val="24"/>
                <w:szCs w:val="24"/>
                <w:lang w:eastAsia="en-US"/>
              </w:rPr>
            </w:pPr>
            <w:r w:rsidRPr="00A05D59">
              <w:rPr>
                <w:rFonts w:eastAsia="Calibri"/>
                <w:b/>
                <w:bCs/>
                <w:sz w:val="24"/>
                <w:szCs w:val="24"/>
                <w:lang w:eastAsia="en-US"/>
              </w:rPr>
              <w:t>3.4.</w:t>
            </w:r>
            <w:r w:rsidRPr="00A05D59">
              <w:rPr>
                <w:b/>
                <w:bCs/>
                <w:sz w:val="24"/>
                <w:szCs w:val="24"/>
                <w:lang w:eastAsia="en-US"/>
              </w:rPr>
              <w:t xml:space="preserve"> Impactul macroeconomic</w:t>
            </w:r>
            <w:r w:rsidR="004B0F62" w:rsidRPr="00A05D59">
              <w:rPr>
                <w:b/>
                <w:bCs/>
                <w:sz w:val="24"/>
                <w:szCs w:val="24"/>
                <w:lang w:eastAsia="en-US"/>
              </w:rPr>
              <w:t>:</w:t>
            </w:r>
          </w:p>
          <w:p w14:paraId="1F32B00D" w14:textId="77777777" w:rsidR="00B70B27" w:rsidRPr="00A05D59" w:rsidRDefault="00EA61C9" w:rsidP="003D7731">
            <w:pPr>
              <w:jc w:val="both"/>
              <w:rPr>
                <w:sz w:val="24"/>
                <w:szCs w:val="24"/>
                <w:lang w:eastAsia="en-US"/>
              </w:rPr>
            </w:pPr>
            <w:r w:rsidRPr="00A05D59">
              <w:rPr>
                <w:sz w:val="24"/>
                <w:szCs w:val="24"/>
                <w:lang w:eastAsia="en-US"/>
              </w:rPr>
              <w:t xml:space="preserve"> </w:t>
            </w:r>
            <w:r w:rsidRPr="00A05D59">
              <w:rPr>
                <w:sz w:val="24"/>
                <w:szCs w:val="24"/>
              </w:rPr>
              <w:t>Proiectul de act normativ nu se referă la acest subiect.</w:t>
            </w:r>
          </w:p>
        </w:tc>
      </w:tr>
      <w:tr w:rsidR="00E6173F" w:rsidRPr="00A05D59" w14:paraId="642CAF76" w14:textId="77777777" w:rsidTr="00D47ECA">
        <w:trPr>
          <w:gridAfter w:val="1"/>
          <w:wAfter w:w="27" w:type="dxa"/>
          <w:jc w:val="center"/>
        </w:trPr>
        <w:tc>
          <w:tcPr>
            <w:tcW w:w="10335" w:type="dxa"/>
            <w:gridSpan w:val="7"/>
          </w:tcPr>
          <w:p w14:paraId="586201B4" w14:textId="77777777" w:rsidR="00E6173F" w:rsidRPr="00A05D59" w:rsidRDefault="00E6173F" w:rsidP="00D81EF2">
            <w:pPr>
              <w:jc w:val="both"/>
              <w:rPr>
                <w:b/>
                <w:bCs/>
                <w:sz w:val="24"/>
                <w:szCs w:val="24"/>
                <w:lang w:eastAsia="en-US"/>
              </w:rPr>
            </w:pPr>
            <w:r w:rsidRPr="00A05D59">
              <w:rPr>
                <w:b/>
                <w:bCs/>
                <w:sz w:val="24"/>
                <w:szCs w:val="24"/>
                <w:lang w:eastAsia="en-US"/>
              </w:rPr>
              <w:t>3.4.1. Impactul asupra economiei și asupra principalilor indicatori macroeconomici</w:t>
            </w:r>
            <w:r w:rsidR="004B0F62" w:rsidRPr="00A05D59">
              <w:rPr>
                <w:b/>
                <w:bCs/>
                <w:sz w:val="24"/>
                <w:szCs w:val="24"/>
                <w:lang w:eastAsia="en-US"/>
              </w:rPr>
              <w:t>:</w:t>
            </w:r>
          </w:p>
          <w:p w14:paraId="42E8485B" w14:textId="77777777" w:rsidR="00B70B27" w:rsidRPr="00A05D59" w:rsidRDefault="00E6173F" w:rsidP="003D7731">
            <w:pPr>
              <w:jc w:val="both"/>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25761780" w14:textId="77777777" w:rsidTr="00D47ECA">
        <w:trPr>
          <w:gridAfter w:val="1"/>
          <w:wAfter w:w="27" w:type="dxa"/>
          <w:jc w:val="center"/>
        </w:trPr>
        <w:tc>
          <w:tcPr>
            <w:tcW w:w="10335" w:type="dxa"/>
            <w:gridSpan w:val="7"/>
          </w:tcPr>
          <w:p w14:paraId="21542AFE" w14:textId="77777777" w:rsidR="00E6173F" w:rsidRPr="00A05D59" w:rsidRDefault="00E6173F" w:rsidP="00D81EF2">
            <w:pPr>
              <w:jc w:val="both"/>
              <w:rPr>
                <w:b/>
                <w:bCs/>
                <w:sz w:val="24"/>
                <w:szCs w:val="24"/>
                <w:lang w:eastAsia="en-US"/>
              </w:rPr>
            </w:pPr>
            <w:r w:rsidRPr="00A05D59">
              <w:rPr>
                <w:b/>
                <w:bCs/>
                <w:sz w:val="24"/>
                <w:szCs w:val="24"/>
                <w:lang w:eastAsia="en-US"/>
              </w:rPr>
              <w:t>3.4.2. Impactul asupra mediului concurențial și domeniul ajutoarelor de stat</w:t>
            </w:r>
            <w:r w:rsidR="004B0F62" w:rsidRPr="00A05D59">
              <w:rPr>
                <w:b/>
                <w:bCs/>
                <w:sz w:val="24"/>
                <w:szCs w:val="24"/>
                <w:lang w:eastAsia="en-US"/>
              </w:rPr>
              <w:t>:</w:t>
            </w:r>
          </w:p>
          <w:p w14:paraId="3502260B" w14:textId="77777777" w:rsidR="00E6173F" w:rsidRPr="00A05D59" w:rsidRDefault="00E6173F" w:rsidP="00D81EF2">
            <w:pPr>
              <w:jc w:val="both"/>
              <w:rPr>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p w14:paraId="2E7A50AF" w14:textId="77777777" w:rsidR="00B70B27" w:rsidRPr="00A05D59" w:rsidRDefault="00B70B27" w:rsidP="00D81EF2">
            <w:pPr>
              <w:jc w:val="both"/>
              <w:rPr>
                <w:sz w:val="24"/>
                <w:szCs w:val="24"/>
                <w:lang w:eastAsia="en-US"/>
              </w:rPr>
            </w:pPr>
          </w:p>
        </w:tc>
      </w:tr>
      <w:tr w:rsidR="00E6173F" w:rsidRPr="00A05D59" w14:paraId="791EEC6D" w14:textId="77777777" w:rsidTr="00D47ECA">
        <w:trPr>
          <w:gridAfter w:val="1"/>
          <w:wAfter w:w="27" w:type="dxa"/>
          <w:jc w:val="center"/>
        </w:trPr>
        <w:tc>
          <w:tcPr>
            <w:tcW w:w="10335" w:type="dxa"/>
            <w:gridSpan w:val="7"/>
          </w:tcPr>
          <w:p w14:paraId="3E705FBE" w14:textId="77777777" w:rsidR="00E6173F" w:rsidRPr="00A05D59" w:rsidRDefault="00E6173F" w:rsidP="00D81EF2">
            <w:pPr>
              <w:jc w:val="both"/>
              <w:rPr>
                <w:b/>
                <w:bCs/>
                <w:sz w:val="24"/>
                <w:szCs w:val="24"/>
                <w:lang w:eastAsia="en-US"/>
              </w:rPr>
            </w:pPr>
            <w:r w:rsidRPr="00A05D59">
              <w:rPr>
                <w:b/>
                <w:bCs/>
                <w:sz w:val="24"/>
                <w:szCs w:val="24"/>
                <w:lang w:eastAsia="en-US"/>
              </w:rPr>
              <w:t>3.5. Impactul asupra mediului de afaceri:</w:t>
            </w:r>
          </w:p>
          <w:p w14:paraId="7815D87B" w14:textId="77777777" w:rsidR="00F07709" w:rsidRPr="00A05D59" w:rsidRDefault="00EA61C9" w:rsidP="00D81EF2">
            <w:pPr>
              <w:widowControl w:val="0"/>
              <w:autoSpaceDE w:val="0"/>
              <w:autoSpaceDN w:val="0"/>
              <w:jc w:val="both"/>
              <w:rPr>
                <w:rFonts w:eastAsia="Tahoma"/>
                <w:sz w:val="24"/>
                <w:szCs w:val="24"/>
              </w:rPr>
            </w:pPr>
            <w:r w:rsidRPr="00A05D59">
              <w:rPr>
                <w:rFonts w:eastAsia="Tahoma"/>
                <w:sz w:val="24"/>
                <w:szCs w:val="24"/>
              </w:rPr>
              <w:t>Stabilirea</w:t>
            </w:r>
            <w:r w:rsidRPr="00A05D59">
              <w:rPr>
                <w:rFonts w:eastAsia="Tahoma"/>
                <w:spacing w:val="1"/>
                <w:sz w:val="24"/>
                <w:szCs w:val="24"/>
              </w:rPr>
              <w:t xml:space="preserve"> </w:t>
            </w:r>
            <w:r w:rsidRPr="00A05D59">
              <w:rPr>
                <w:rFonts w:eastAsia="Tahoma"/>
                <w:sz w:val="24"/>
                <w:szCs w:val="24"/>
              </w:rPr>
              <w:t xml:space="preserve"> măsurilor pentru </w:t>
            </w:r>
            <w:r w:rsidR="00F07709" w:rsidRPr="00A05D59">
              <w:rPr>
                <w:rFonts w:eastAsia="Tahoma"/>
                <w:sz w:val="24"/>
                <w:szCs w:val="24"/>
              </w:rPr>
              <w:t>trans</w:t>
            </w:r>
            <w:r w:rsidR="003D7731" w:rsidRPr="00A05D59">
              <w:rPr>
                <w:rFonts w:eastAsia="Tahoma"/>
                <w:sz w:val="24"/>
                <w:szCs w:val="24"/>
              </w:rPr>
              <w:t>p</w:t>
            </w:r>
            <w:r w:rsidR="00F07709" w:rsidRPr="00A05D59">
              <w:rPr>
                <w:rFonts w:eastAsia="Tahoma"/>
                <w:sz w:val="24"/>
                <w:szCs w:val="24"/>
              </w:rPr>
              <w:t xml:space="preserve">unerea </w:t>
            </w:r>
            <w:r w:rsidR="00A05D59" w:rsidRPr="00A05D59">
              <w:rPr>
                <w:rFonts w:eastAsia="Tahoma"/>
                <w:sz w:val="24"/>
                <w:szCs w:val="24"/>
              </w:rPr>
              <w:t>Directiva (UE) 2024/1799 a Parlamentului European și a  Consiliului din 13 iunie 2024 privind normele comune de promovare a reparării bunurilor și de modificare a Regulamentului (UE) 2017/2394 și a Directivelor (UE) 2019/771 și (UE) 2020/1828, publicată în JO L2024/1799</w:t>
            </w:r>
          </w:p>
        </w:tc>
      </w:tr>
      <w:tr w:rsidR="00E6173F" w:rsidRPr="00A05D59" w14:paraId="2B9A8ECD" w14:textId="77777777" w:rsidTr="00D47ECA">
        <w:trPr>
          <w:gridAfter w:val="1"/>
          <w:wAfter w:w="27" w:type="dxa"/>
          <w:jc w:val="center"/>
        </w:trPr>
        <w:tc>
          <w:tcPr>
            <w:tcW w:w="10335" w:type="dxa"/>
            <w:gridSpan w:val="7"/>
          </w:tcPr>
          <w:p w14:paraId="32611AA5" w14:textId="77777777" w:rsidR="00E6173F" w:rsidRPr="00A05D59" w:rsidRDefault="00E6173F" w:rsidP="00D81EF2">
            <w:pPr>
              <w:jc w:val="both"/>
              <w:rPr>
                <w:b/>
                <w:bCs/>
                <w:sz w:val="24"/>
                <w:szCs w:val="24"/>
                <w:lang w:eastAsia="en-US"/>
              </w:rPr>
            </w:pPr>
            <w:r w:rsidRPr="00A05D59">
              <w:rPr>
                <w:b/>
                <w:bCs/>
                <w:sz w:val="24"/>
                <w:szCs w:val="24"/>
                <w:lang w:eastAsia="en-US"/>
              </w:rPr>
              <w:t>3.6. Impactul asupra mediului înconjurător</w:t>
            </w:r>
            <w:r w:rsidR="004B0F62" w:rsidRPr="00A05D59">
              <w:rPr>
                <w:b/>
                <w:bCs/>
                <w:sz w:val="24"/>
                <w:szCs w:val="24"/>
                <w:lang w:eastAsia="en-US"/>
              </w:rPr>
              <w:t>:</w:t>
            </w:r>
          </w:p>
          <w:p w14:paraId="5247E7F5" w14:textId="77777777" w:rsidR="00B70B27" w:rsidRPr="00A05D59" w:rsidRDefault="00554D03" w:rsidP="00D81EF2">
            <w:pPr>
              <w:jc w:val="both"/>
              <w:rPr>
                <w:sz w:val="24"/>
                <w:szCs w:val="24"/>
              </w:rPr>
            </w:pPr>
            <w:r w:rsidRPr="00A05D59">
              <w:rPr>
                <w:sz w:val="24"/>
                <w:szCs w:val="24"/>
              </w:rPr>
              <w:t xml:space="preserve">Proiectul de act normativ asigură un nivel ridicat de protecție a </w:t>
            </w:r>
            <w:r w:rsidR="00F07709" w:rsidRPr="00A05D59">
              <w:rPr>
                <w:sz w:val="24"/>
                <w:szCs w:val="24"/>
              </w:rPr>
              <w:t>consumatorilor</w:t>
            </w:r>
            <w:r w:rsidR="00802EA8" w:rsidRPr="00A05D59">
              <w:rPr>
                <w:sz w:val="24"/>
                <w:szCs w:val="24"/>
              </w:rPr>
              <w:t>.</w:t>
            </w:r>
          </w:p>
        </w:tc>
      </w:tr>
      <w:tr w:rsidR="00E6173F" w:rsidRPr="00A05D59" w14:paraId="5665AA1E" w14:textId="77777777" w:rsidTr="00D47ECA">
        <w:trPr>
          <w:gridAfter w:val="1"/>
          <w:wAfter w:w="27" w:type="dxa"/>
          <w:jc w:val="center"/>
        </w:trPr>
        <w:tc>
          <w:tcPr>
            <w:tcW w:w="10335" w:type="dxa"/>
            <w:gridSpan w:val="7"/>
          </w:tcPr>
          <w:p w14:paraId="63651E6B" w14:textId="77777777" w:rsidR="00E6173F" w:rsidRPr="00A05D59" w:rsidRDefault="00E6173F" w:rsidP="00D81EF2">
            <w:pPr>
              <w:jc w:val="both"/>
              <w:rPr>
                <w:rFonts w:eastAsia="Calibri"/>
                <w:b/>
                <w:bCs/>
                <w:sz w:val="24"/>
                <w:szCs w:val="24"/>
                <w:lang w:eastAsia="en-US"/>
              </w:rPr>
            </w:pPr>
            <w:r w:rsidRPr="00A05D59">
              <w:rPr>
                <w:rFonts w:eastAsia="Calibri"/>
                <w:b/>
                <w:bCs/>
                <w:sz w:val="24"/>
                <w:szCs w:val="24"/>
                <w:lang w:eastAsia="en-US"/>
              </w:rPr>
              <w:t>3.7. Evaluarea costurilor și beneficiilor din perspectiva inovării și digitalizării</w:t>
            </w:r>
            <w:r w:rsidR="004B0F62" w:rsidRPr="00A05D59">
              <w:rPr>
                <w:rFonts w:eastAsia="Calibri"/>
                <w:b/>
                <w:bCs/>
                <w:sz w:val="24"/>
                <w:szCs w:val="24"/>
                <w:lang w:eastAsia="en-US"/>
              </w:rPr>
              <w:t>:</w:t>
            </w:r>
          </w:p>
          <w:p w14:paraId="394CE7CE" w14:textId="77777777" w:rsidR="00B70B27" w:rsidRPr="00A05D59" w:rsidRDefault="00E6173F" w:rsidP="003D7731">
            <w:pPr>
              <w:jc w:val="both"/>
              <w:rPr>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0D42876C" w14:textId="77777777" w:rsidTr="00D47ECA">
        <w:trPr>
          <w:gridAfter w:val="1"/>
          <w:wAfter w:w="27" w:type="dxa"/>
          <w:jc w:val="center"/>
        </w:trPr>
        <w:tc>
          <w:tcPr>
            <w:tcW w:w="10335" w:type="dxa"/>
            <w:gridSpan w:val="7"/>
          </w:tcPr>
          <w:p w14:paraId="153C2A67" w14:textId="77777777" w:rsidR="00E6173F" w:rsidRPr="00A05D59" w:rsidRDefault="00E6173F" w:rsidP="00D81EF2">
            <w:pPr>
              <w:jc w:val="both"/>
              <w:rPr>
                <w:rFonts w:eastAsia="Calibri"/>
                <w:b/>
                <w:bCs/>
                <w:sz w:val="24"/>
                <w:szCs w:val="24"/>
                <w:lang w:eastAsia="en-US"/>
              </w:rPr>
            </w:pPr>
            <w:r w:rsidRPr="00A05D59">
              <w:rPr>
                <w:rFonts w:eastAsia="Calibri"/>
                <w:b/>
                <w:bCs/>
                <w:sz w:val="24"/>
                <w:szCs w:val="24"/>
                <w:lang w:eastAsia="en-US"/>
              </w:rPr>
              <w:t>3.8. Evaluarea costurilor și beneficiilor din perspectiva dezvoltării durabile</w:t>
            </w:r>
          </w:p>
          <w:p w14:paraId="40335B4E" w14:textId="77777777" w:rsidR="00B70B27" w:rsidRPr="00A05D59" w:rsidRDefault="00E6173F" w:rsidP="003D7731">
            <w:pPr>
              <w:jc w:val="both"/>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6E96216C" w14:textId="77777777" w:rsidTr="00D47ECA">
        <w:trPr>
          <w:gridAfter w:val="1"/>
          <w:wAfter w:w="27" w:type="dxa"/>
          <w:jc w:val="center"/>
        </w:trPr>
        <w:tc>
          <w:tcPr>
            <w:tcW w:w="10335" w:type="dxa"/>
            <w:gridSpan w:val="7"/>
          </w:tcPr>
          <w:p w14:paraId="4C51E3AB" w14:textId="77777777" w:rsidR="00E6173F" w:rsidRPr="00A05D59" w:rsidRDefault="00E6173F" w:rsidP="00D81EF2">
            <w:pPr>
              <w:jc w:val="both"/>
              <w:rPr>
                <w:b/>
                <w:bCs/>
                <w:sz w:val="24"/>
                <w:szCs w:val="24"/>
                <w:lang w:eastAsia="en-US"/>
              </w:rPr>
            </w:pPr>
            <w:r w:rsidRPr="00A05D59">
              <w:rPr>
                <w:b/>
                <w:bCs/>
                <w:sz w:val="24"/>
                <w:szCs w:val="24"/>
                <w:lang w:eastAsia="en-US"/>
              </w:rPr>
              <w:t>3.9. Alte informații</w:t>
            </w:r>
          </w:p>
          <w:p w14:paraId="7C98021E" w14:textId="77777777" w:rsidR="00E6173F" w:rsidRPr="00A05D59" w:rsidRDefault="00554D03" w:rsidP="00D81EF2">
            <w:pPr>
              <w:jc w:val="both"/>
              <w:rPr>
                <w:rFonts w:eastAsia="Calibri"/>
                <w:sz w:val="24"/>
                <w:szCs w:val="24"/>
                <w:lang w:eastAsia="en-US"/>
              </w:rPr>
            </w:pPr>
            <w:r w:rsidRPr="00A05D59">
              <w:rPr>
                <w:snapToGrid w:val="0"/>
                <w:sz w:val="24"/>
                <w:szCs w:val="24"/>
              </w:rPr>
              <w:t>Nu au fost identificate.</w:t>
            </w:r>
          </w:p>
        </w:tc>
      </w:tr>
      <w:tr w:rsidR="00A62022" w:rsidRPr="00A05D59" w14:paraId="3D3B446A" w14:textId="77777777" w:rsidTr="00D47ECA">
        <w:trPr>
          <w:gridAfter w:val="1"/>
          <w:wAfter w:w="27" w:type="dxa"/>
          <w:jc w:val="center"/>
        </w:trPr>
        <w:tc>
          <w:tcPr>
            <w:tcW w:w="10335" w:type="dxa"/>
            <w:gridSpan w:val="7"/>
          </w:tcPr>
          <w:p w14:paraId="108D1510" w14:textId="77777777" w:rsidR="00E26F01" w:rsidRPr="00A05D59" w:rsidRDefault="00A62022" w:rsidP="00D81EF2">
            <w:pPr>
              <w:spacing w:before="120" w:after="120"/>
              <w:jc w:val="center"/>
              <w:rPr>
                <w:b/>
                <w:sz w:val="24"/>
                <w:szCs w:val="24"/>
                <w:lang w:eastAsia="en-US"/>
              </w:rPr>
            </w:pPr>
            <w:r w:rsidRPr="00A05D59">
              <w:rPr>
                <w:b/>
                <w:sz w:val="24"/>
                <w:szCs w:val="24"/>
                <w:lang w:eastAsia="en-US"/>
              </w:rPr>
              <w:t xml:space="preserve">Secțiunea a 4 –a </w:t>
            </w:r>
          </w:p>
          <w:p w14:paraId="0F6DBECA" w14:textId="77777777" w:rsidR="00CA593D" w:rsidRPr="00A05D59" w:rsidRDefault="00A62022" w:rsidP="003D7731">
            <w:pPr>
              <w:jc w:val="center"/>
              <w:rPr>
                <w:b/>
                <w:sz w:val="24"/>
                <w:szCs w:val="24"/>
                <w:lang w:eastAsia="en-US"/>
              </w:rPr>
            </w:pPr>
            <w:r w:rsidRPr="00A05D59">
              <w:rPr>
                <w:b/>
                <w:sz w:val="24"/>
                <w:szCs w:val="24"/>
                <w:lang w:eastAsia="en-US"/>
              </w:rPr>
              <w:t>Impactul financiar asupra bugetului general consolidat, atât pe termen scurt, pentru anul curent, cât și pe termen lung (5 ani), inclusiv informații cu privire la cheltuieli și venituri</w:t>
            </w:r>
          </w:p>
          <w:p w14:paraId="003CF2CD" w14:textId="77777777" w:rsidR="00DE4486" w:rsidRPr="00A05D59" w:rsidRDefault="00DE4486" w:rsidP="003D7731">
            <w:pPr>
              <w:jc w:val="center"/>
              <w:rPr>
                <w:b/>
                <w:sz w:val="24"/>
                <w:szCs w:val="24"/>
                <w:lang w:eastAsia="en-US"/>
              </w:rPr>
            </w:pPr>
          </w:p>
        </w:tc>
      </w:tr>
      <w:tr w:rsidR="00A62022" w:rsidRPr="00A05D59" w14:paraId="4ACFB3A3" w14:textId="77777777" w:rsidTr="00D47ECA">
        <w:trPr>
          <w:gridAfter w:val="1"/>
          <w:wAfter w:w="27" w:type="dxa"/>
          <w:jc w:val="center"/>
        </w:trPr>
        <w:tc>
          <w:tcPr>
            <w:tcW w:w="10335" w:type="dxa"/>
            <w:gridSpan w:val="7"/>
          </w:tcPr>
          <w:p w14:paraId="25BC7B37" w14:textId="77777777" w:rsidR="00A62022" w:rsidRPr="00A05D59" w:rsidRDefault="00A62022" w:rsidP="00D81EF2">
            <w:pPr>
              <w:numPr>
                <w:ilvl w:val="0"/>
                <w:numId w:val="4"/>
              </w:numPr>
              <w:spacing w:before="120" w:after="120"/>
              <w:contextualSpacing/>
              <w:jc w:val="right"/>
              <w:rPr>
                <w:rFonts w:eastAsia="Calibri"/>
                <w:sz w:val="24"/>
                <w:szCs w:val="24"/>
                <w:lang w:eastAsia="en-US"/>
              </w:rPr>
            </w:pPr>
            <w:r w:rsidRPr="00A05D59">
              <w:rPr>
                <w:rFonts w:eastAsia="Calibri"/>
                <w:sz w:val="24"/>
                <w:szCs w:val="24"/>
                <w:lang w:eastAsia="en-US"/>
              </w:rPr>
              <w:t>În mii lei (RON)  -</w:t>
            </w:r>
          </w:p>
        </w:tc>
      </w:tr>
      <w:tr w:rsidR="00A62022" w:rsidRPr="00A05D59" w14:paraId="4432555F" w14:textId="77777777" w:rsidTr="00E6159A">
        <w:trPr>
          <w:jc w:val="center"/>
        </w:trPr>
        <w:tc>
          <w:tcPr>
            <w:tcW w:w="4915" w:type="dxa"/>
            <w:vAlign w:val="center"/>
          </w:tcPr>
          <w:p w14:paraId="1D2B5912" w14:textId="77777777" w:rsidR="00A62022" w:rsidRPr="00A05D59" w:rsidRDefault="00A62022" w:rsidP="00D81EF2">
            <w:pPr>
              <w:spacing w:after="120"/>
              <w:ind w:firstLine="289"/>
              <w:jc w:val="center"/>
              <w:rPr>
                <w:sz w:val="24"/>
                <w:szCs w:val="24"/>
                <w:lang w:eastAsia="en-US"/>
              </w:rPr>
            </w:pPr>
            <w:r w:rsidRPr="00A05D59">
              <w:rPr>
                <w:sz w:val="24"/>
                <w:szCs w:val="24"/>
                <w:lang w:eastAsia="en-US"/>
              </w:rPr>
              <w:t>Indicatori</w:t>
            </w:r>
          </w:p>
        </w:tc>
        <w:tc>
          <w:tcPr>
            <w:tcW w:w="888" w:type="dxa"/>
            <w:vAlign w:val="center"/>
          </w:tcPr>
          <w:p w14:paraId="2304CDC0" w14:textId="77777777" w:rsidR="00A62022" w:rsidRPr="00A05D59" w:rsidRDefault="00A62022" w:rsidP="00D81EF2">
            <w:pPr>
              <w:autoSpaceDE w:val="0"/>
              <w:autoSpaceDN w:val="0"/>
              <w:adjustRightInd w:val="0"/>
              <w:spacing w:before="120"/>
              <w:jc w:val="center"/>
              <w:rPr>
                <w:sz w:val="24"/>
                <w:szCs w:val="24"/>
                <w:lang w:eastAsia="en-US"/>
              </w:rPr>
            </w:pPr>
            <w:r w:rsidRPr="00A05D59">
              <w:rPr>
                <w:sz w:val="24"/>
                <w:szCs w:val="24"/>
                <w:lang w:eastAsia="en-US"/>
              </w:rPr>
              <w:t>Anul curent</w:t>
            </w:r>
          </w:p>
        </w:tc>
        <w:tc>
          <w:tcPr>
            <w:tcW w:w="3488" w:type="dxa"/>
            <w:gridSpan w:val="4"/>
            <w:vAlign w:val="center"/>
          </w:tcPr>
          <w:p w14:paraId="0A55F9CC"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Următorii 4 ani</w:t>
            </w:r>
          </w:p>
        </w:tc>
        <w:tc>
          <w:tcPr>
            <w:tcW w:w="1071" w:type="dxa"/>
            <w:gridSpan w:val="2"/>
            <w:vAlign w:val="center"/>
          </w:tcPr>
          <w:p w14:paraId="1F5CBFAF"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Media pe 5 ani</w:t>
            </w:r>
          </w:p>
        </w:tc>
      </w:tr>
      <w:tr w:rsidR="00A62022" w:rsidRPr="00A05D59" w14:paraId="751B70A6" w14:textId="77777777" w:rsidTr="00E6159A">
        <w:trPr>
          <w:jc w:val="center"/>
        </w:trPr>
        <w:tc>
          <w:tcPr>
            <w:tcW w:w="4915" w:type="dxa"/>
            <w:vAlign w:val="center"/>
          </w:tcPr>
          <w:p w14:paraId="5A01EB36" w14:textId="77777777" w:rsidR="00A62022" w:rsidRPr="00A05D59" w:rsidRDefault="00A62022" w:rsidP="00D81EF2">
            <w:pPr>
              <w:spacing w:after="120"/>
              <w:ind w:firstLine="289"/>
              <w:jc w:val="center"/>
              <w:rPr>
                <w:sz w:val="24"/>
                <w:szCs w:val="24"/>
                <w:lang w:eastAsia="en-US"/>
              </w:rPr>
            </w:pPr>
            <w:r w:rsidRPr="00A05D59">
              <w:rPr>
                <w:sz w:val="24"/>
                <w:szCs w:val="24"/>
                <w:lang w:eastAsia="en-US"/>
              </w:rPr>
              <w:t>1</w:t>
            </w:r>
          </w:p>
        </w:tc>
        <w:tc>
          <w:tcPr>
            <w:tcW w:w="888" w:type="dxa"/>
            <w:vAlign w:val="center"/>
          </w:tcPr>
          <w:p w14:paraId="16A95E52" w14:textId="77777777" w:rsidR="00A62022" w:rsidRPr="00A05D59" w:rsidRDefault="00A62022" w:rsidP="00D81EF2">
            <w:pPr>
              <w:autoSpaceDE w:val="0"/>
              <w:autoSpaceDN w:val="0"/>
              <w:adjustRightInd w:val="0"/>
              <w:spacing w:before="120"/>
              <w:jc w:val="center"/>
              <w:rPr>
                <w:sz w:val="24"/>
                <w:szCs w:val="24"/>
                <w:lang w:eastAsia="en-US"/>
              </w:rPr>
            </w:pPr>
            <w:r w:rsidRPr="00A05D59">
              <w:rPr>
                <w:sz w:val="24"/>
                <w:szCs w:val="24"/>
                <w:lang w:eastAsia="en-US"/>
              </w:rPr>
              <w:t>2</w:t>
            </w:r>
          </w:p>
        </w:tc>
        <w:tc>
          <w:tcPr>
            <w:tcW w:w="859" w:type="dxa"/>
            <w:vAlign w:val="center"/>
          </w:tcPr>
          <w:p w14:paraId="7A94323F"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3</w:t>
            </w:r>
          </w:p>
        </w:tc>
        <w:tc>
          <w:tcPr>
            <w:tcW w:w="971" w:type="dxa"/>
            <w:vAlign w:val="center"/>
          </w:tcPr>
          <w:p w14:paraId="22589F83"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4</w:t>
            </w:r>
          </w:p>
        </w:tc>
        <w:tc>
          <w:tcPr>
            <w:tcW w:w="859" w:type="dxa"/>
            <w:vAlign w:val="center"/>
          </w:tcPr>
          <w:p w14:paraId="3CEC2B8C"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5</w:t>
            </w:r>
          </w:p>
        </w:tc>
        <w:tc>
          <w:tcPr>
            <w:tcW w:w="799" w:type="dxa"/>
            <w:vAlign w:val="center"/>
          </w:tcPr>
          <w:p w14:paraId="4B4F7439"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6</w:t>
            </w:r>
          </w:p>
        </w:tc>
        <w:tc>
          <w:tcPr>
            <w:tcW w:w="1071" w:type="dxa"/>
            <w:gridSpan w:val="2"/>
            <w:vAlign w:val="center"/>
          </w:tcPr>
          <w:p w14:paraId="422A8ACB"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7</w:t>
            </w:r>
          </w:p>
        </w:tc>
      </w:tr>
      <w:tr w:rsidR="00A62022" w:rsidRPr="00A05D59" w14:paraId="66FB078E" w14:textId="77777777" w:rsidTr="00E6159A">
        <w:trPr>
          <w:gridAfter w:val="1"/>
          <w:wAfter w:w="27" w:type="dxa"/>
          <w:jc w:val="center"/>
        </w:trPr>
        <w:tc>
          <w:tcPr>
            <w:tcW w:w="4915" w:type="dxa"/>
          </w:tcPr>
          <w:p w14:paraId="38BD8784" w14:textId="77777777" w:rsidR="00A62022" w:rsidRPr="00A05D59" w:rsidRDefault="00A62022" w:rsidP="00D81EF2">
            <w:pPr>
              <w:jc w:val="both"/>
              <w:rPr>
                <w:rFonts w:eastAsia="Calibri"/>
                <w:sz w:val="24"/>
                <w:szCs w:val="24"/>
                <w:lang w:eastAsia="en-US"/>
              </w:rPr>
            </w:pPr>
            <w:r w:rsidRPr="00A05D59">
              <w:rPr>
                <w:rFonts w:eastAsia="Calibri"/>
                <w:b/>
                <w:bCs/>
                <w:sz w:val="24"/>
                <w:szCs w:val="24"/>
                <w:lang w:eastAsia="en-US"/>
              </w:rPr>
              <w:t>4.1.</w:t>
            </w:r>
            <w:r w:rsidR="00E5575B" w:rsidRPr="00A05D59">
              <w:rPr>
                <w:rFonts w:eastAsia="Calibri"/>
                <w:sz w:val="24"/>
                <w:szCs w:val="24"/>
                <w:lang w:eastAsia="en-US"/>
              </w:rPr>
              <w:t xml:space="preserve"> </w:t>
            </w:r>
            <w:r w:rsidRPr="00A05D59">
              <w:rPr>
                <w:rFonts w:eastAsia="Calibri"/>
                <w:sz w:val="24"/>
                <w:szCs w:val="24"/>
                <w:lang w:eastAsia="en-US"/>
              </w:rPr>
              <w:t xml:space="preserve">Modificări ale veniturilor bugetare, plus / minus, din care: </w:t>
            </w:r>
          </w:p>
          <w:p w14:paraId="5A04AC7E" w14:textId="77777777" w:rsidR="00A62022" w:rsidRPr="00A05D59" w:rsidRDefault="00A62022" w:rsidP="00D81EF2">
            <w:pPr>
              <w:ind w:left="289"/>
              <w:jc w:val="both"/>
              <w:rPr>
                <w:sz w:val="24"/>
                <w:szCs w:val="24"/>
                <w:lang w:eastAsia="en-US"/>
              </w:rPr>
            </w:pPr>
            <w:r w:rsidRPr="00A05D59">
              <w:rPr>
                <w:sz w:val="24"/>
                <w:szCs w:val="24"/>
                <w:lang w:eastAsia="en-US"/>
              </w:rPr>
              <w:t>a)  buget de stat, din acesta:</w:t>
            </w:r>
          </w:p>
          <w:p w14:paraId="005A39F0" w14:textId="77777777" w:rsidR="00A62022" w:rsidRPr="00A05D59" w:rsidRDefault="00A62022" w:rsidP="00D81EF2">
            <w:pPr>
              <w:ind w:left="289" w:firstLine="289"/>
              <w:jc w:val="both"/>
              <w:rPr>
                <w:sz w:val="24"/>
                <w:szCs w:val="24"/>
                <w:lang w:eastAsia="en-US"/>
              </w:rPr>
            </w:pPr>
            <w:r w:rsidRPr="00A05D59">
              <w:rPr>
                <w:sz w:val="24"/>
                <w:szCs w:val="24"/>
                <w:lang w:eastAsia="en-US"/>
              </w:rPr>
              <w:t>i) impozit pe profit</w:t>
            </w:r>
          </w:p>
          <w:p w14:paraId="206D6FB3" w14:textId="77777777" w:rsidR="00A62022" w:rsidRPr="00A05D59" w:rsidRDefault="00A62022" w:rsidP="00D81EF2">
            <w:pPr>
              <w:ind w:left="289" w:firstLine="289"/>
              <w:jc w:val="both"/>
              <w:rPr>
                <w:sz w:val="24"/>
                <w:szCs w:val="24"/>
                <w:lang w:eastAsia="en-US"/>
              </w:rPr>
            </w:pPr>
            <w:r w:rsidRPr="00A05D59">
              <w:rPr>
                <w:sz w:val="24"/>
                <w:szCs w:val="24"/>
                <w:lang w:eastAsia="en-US"/>
              </w:rPr>
              <w:t>ii) impozit pe venit</w:t>
            </w:r>
          </w:p>
          <w:p w14:paraId="2162F2C2" w14:textId="77777777" w:rsidR="00A62022" w:rsidRPr="00A05D59" w:rsidRDefault="00A62022" w:rsidP="00D81EF2">
            <w:pPr>
              <w:ind w:left="289"/>
              <w:jc w:val="both"/>
              <w:rPr>
                <w:sz w:val="24"/>
                <w:szCs w:val="24"/>
                <w:lang w:eastAsia="en-US"/>
              </w:rPr>
            </w:pPr>
            <w:r w:rsidRPr="00A05D59">
              <w:rPr>
                <w:sz w:val="24"/>
                <w:szCs w:val="24"/>
                <w:lang w:eastAsia="en-US"/>
              </w:rPr>
              <w:t>b) bugete locale:</w:t>
            </w:r>
          </w:p>
          <w:p w14:paraId="6C07BE56" w14:textId="77777777" w:rsidR="00A62022" w:rsidRPr="00A05D59" w:rsidRDefault="00A62022" w:rsidP="00D81EF2">
            <w:pPr>
              <w:ind w:left="289" w:firstLine="289"/>
              <w:jc w:val="both"/>
              <w:rPr>
                <w:sz w:val="24"/>
                <w:szCs w:val="24"/>
                <w:lang w:eastAsia="en-US"/>
              </w:rPr>
            </w:pPr>
            <w:r w:rsidRPr="00A05D59">
              <w:rPr>
                <w:sz w:val="24"/>
                <w:szCs w:val="24"/>
                <w:lang w:eastAsia="en-US"/>
              </w:rPr>
              <w:t>i) impozit pe profit</w:t>
            </w:r>
          </w:p>
          <w:p w14:paraId="001DDC7C" w14:textId="77777777" w:rsidR="00A62022" w:rsidRPr="00A05D59" w:rsidRDefault="00A62022" w:rsidP="00D81EF2">
            <w:pPr>
              <w:ind w:left="289"/>
              <w:jc w:val="both"/>
              <w:rPr>
                <w:sz w:val="24"/>
                <w:szCs w:val="24"/>
                <w:lang w:eastAsia="en-US"/>
              </w:rPr>
            </w:pPr>
            <w:r w:rsidRPr="00A05D59">
              <w:rPr>
                <w:sz w:val="24"/>
                <w:szCs w:val="24"/>
                <w:lang w:eastAsia="en-US"/>
              </w:rPr>
              <w:t>c) bugetul asigurărilor sociale de stat:</w:t>
            </w:r>
          </w:p>
          <w:p w14:paraId="14A0429D" w14:textId="77777777" w:rsidR="00A62022" w:rsidRPr="00A05D59" w:rsidRDefault="00A62022" w:rsidP="00E5575B">
            <w:pPr>
              <w:ind w:left="289" w:firstLine="289"/>
              <w:jc w:val="both"/>
              <w:rPr>
                <w:sz w:val="24"/>
                <w:szCs w:val="24"/>
                <w:lang w:eastAsia="en-US"/>
              </w:rPr>
            </w:pPr>
            <w:r w:rsidRPr="00A05D59">
              <w:rPr>
                <w:sz w:val="24"/>
                <w:szCs w:val="24"/>
                <w:lang w:eastAsia="en-US"/>
              </w:rPr>
              <w:t>i) contribuții de asigurări</w:t>
            </w:r>
          </w:p>
          <w:p w14:paraId="6328320A" w14:textId="77777777" w:rsidR="00A62022" w:rsidRPr="00A05D59" w:rsidRDefault="00A62022" w:rsidP="00E5575B">
            <w:pPr>
              <w:jc w:val="both"/>
              <w:rPr>
                <w:sz w:val="24"/>
                <w:szCs w:val="24"/>
                <w:lang w:eastAsia="en-US"/>
              </w:rPr>
            </w:pPr>
            <w:r w:rsidRPr="00A05D59">
              <w:rPr>
                <w:sz w:val="24"/>
                <w:szCs w:val="24"/>
                <w:lang w:eastAsia="en-US"/>
              </w:rPr>
              <w:t xml:space="preserve">    d) alte tipuri de venituri (se va menționa natura acestora)</w:t>
            </w:r>
          </w:p>
        </w:tc>
        <w:tc>
          <w:tcPr>
            <w:tcW w:w="5420" w:type="dxa"/>
            <w:gridSpan w:val="6"/>
          </w:tcPr>
          <w:p w14:paraId="181489E6" w14:textId="77777777" w:rsidR="00A62022" w:rsidRPr="00A05D59" w:rsidRDefault="00554D03" w:rsidP="00D81EF2">
            <w:pPr>
              <w:spacing w:before="120"/>
              <w:rPr>
                <w:sz w:val="24"/>
                <w:szCs w:val="24"/>
                <w:lang w:eastAsia="en-US"/>
              </w:rPr>
            </w:pPr>
            <w:r w:rsidRPr="00A05D59">
              <w:rPr>
                <w:sz w:val="24"/>
                <w:szCs w:val="24"/>
              </w:rPr>
              <w:t>Nu este cazul</w:t>
            </w:r>
          </w:p>
        </w:tc>
      </w:tr>
      <w:tr w:rsidR="00A62022" w:rsidRPr="00A05D59" w14:paraId="6FD713E0" w14:textId="77777777" w:rsidTr="00E6159A">
        <w:trPr>
          <w:gridAfter w:val="1"/>
          <w:wAfter w:w="27" w:type="dxa"/>
          <w:jc w:val="center"/>
        </w:trPr>
        <w:tc>
          <w:tcPr>
            <w:tcW w:w="4915" w:type="dxa"/>
          </w:tcPr>
          <w:p w14:paraId="475DCBF8" w14:textId="77777777" w:rsidR="00A62022" w:rsidRPr="00A05D59" w:rsidRDefault="00A62022" w:rsidP="00D81EF2">
            <w:pPr>
              <w:jc w:val="both"/>
              <w:rPr>
                <w:sz w:val="24"/>
                <w:szCs w:val="24"/>
                <w:lang w:eastAsia="en-US"/>
              </w:rPr>
            </w:pPr>
            <w:r w:rsidRPr="00A05D59">
              <w:rPr>
                <w:b/>
                <w:bCs/>
                <w:sz w:val="24"/>
                <w:szCs w:val="24"/>
                <w:lang w:eastAsia="en-US"/>
              </w:rPr>
              <w:lastRenderedPageBreak/>
              <w:t>4.2.</w:t>
            </w:r>
            <w:r w:rsidRPr="00A05D59">
              <w:rPr>
                <w:sz w:val="24"/>
                <w:szCs w:val="24"/>
                <w:lang w:eastAsia="en-US"/>
              </w:rPr>
              <w:t xml:space="preserve"> Modificări ale cheltuielilor bugetare, plus / minus, din care: </w:t>
            </w:r>
          </w:p>
          <w:p w14:paraId="7466CCD2" w14:textId="77777777" w:rsidR="00A62022" w:rsidRPr="00A05D59" w:rsidRDefault="00A62022" w:rsidP="00D81EF2">
            <w:pPr>
              <w:ind w:left="287"/>
              <w:jc w:val="both"/>
              <w:rPr>
                <w:sz w:val="24"/>
                <w:szCs w:val="24"/>
                <w:lang w:eastAsia="en-US"/>
              </w:rPr>
            </w:pPr>
            <w:r w:rsidRPr="00A05D59">
              <w:rPr>
                <w:sz w:val="24"/>
                <w:szCs w:val="24"/>
                <w:lang w:eastAsia="en-US"/>
              </w:rPr>
              <w:t xml:space="preserve">a) buget de stat, din acesta: </w:t>
            </w:r>
          </w:p>
          <w:p w14:paraId="26CC8B6D" w14:textId="77777777" w:rsidR="00A62022" w:rsidRPr="00A05D59" w:rsidRDefault="00A62022" w:rsidP="00D81EF2">
            <w:pPr>
              <w:ind w:left="574"/>
              <w:jc w:val="both"/>
              <w:rPr>
                <w:sz w:val="24"/>
                <w:szCs w:val="24"/>
                <w:lang w:eastAsia="en-US"/>
              </w:rPr>
            </w:pPr>
            <w:r w:rsidRPr="00A05D59">
              <w:rPr>
                <w:sz w:val="24"/>
                <w:szCs w:val="24"/>
                <w:lang w:eastAsia="en-US"/>
              </w:rPr>
              <w:t xml:space="preserve">(i) cheltuieli de personal </w:t>
            </w:r>
          </w:p>
          <w:p w14:paraId="100DA73F" w14:textId="77777777" w:rsidR="00A62022" w:rsidRPr="00A05D59" w:rsidRDefault="00A62022" w:rsidP="00D81EF2">
            <w:pPr>
              <w:ind w:left="574"/>
              <w:jc w:val="both"/>
              <w:rPr>
                <w:sz w:val="24"/>
                <w:szCs w:val="24"/>
                <w:lang w:eastAsia="en-US"/>
              </w:rPr>
            </w:pPr>
            <w:r w:rsidRPr="00A05D59">
              <w:rPr>
                <w:sz w:val="24"/>
                <w:szCs w:val="24"/>
                <w:lang w:eastAsia="en-US"/>
              </w:rPr>
              <w:t>(ii) bunuri și servicii</w:t>
            </w:r>
          </w:p>
          <w:p w14:paraId="76D5DCC6" w14:textId="77777777" w:rsidR="00A62022" w:rsidRPr="00A05D59" w:rsidRDefault="00A62022" w:rsidP="00D81EF2">
            <w:pPr>
              <w:ind w:left="570" w:hanging="238"/>
              <w:jc w:val="both"/>
              <w:rPr>
                <w:sz w:val="24"/>
                <w:szCs w:val="24"/>
                <w:lang w:eastAsia="en-US"/>
              </w:rPr>
            </w:pPr>
            <w:r w:rsidRPr="00A05D59">
              <w:rPr>
                <w:sz w:val="24"/>
                <w:szCs w:val="24"/>
                <w:lang w:eastAsia="en-US"/>
              </w:rPr>
              <w:t>b) bugete locale:</w:t>
            </w:r>
          </w:p>
          <w:p w14:paraId="05837D50" w14:textId="77777777" w:rsidR="00A62022" w:rsidRPr="00A05D59" w:rsidRDefault="00A62022" w:rsidP="00D81EF2">
            <w:pPr>
              <w:ind w:left="574"/>
              <w:jc w:val="both"/>
              <w:rPr>
                <w:sz w:val="24"/>
                <w:szCs w:val="24"/>
                <w:lang w:eastAsia="en-US"/>
              </w:rPr>
            </w:pPr>
            <w:r w:rsidRPr="00A05D59">
              <w:rPr>
                <w:sz w:val="24"/>
                <w:szCs w:val="24"/>
                <w:lang w:eastAsia="en-US"/>
              </w:rPr>
              <w:t xml:space="preserve"> (i) cheltuieli de personal</w:t>
            </w:r>
          </w:p>
          <w:p w14:paraId="206B1066" w14:textId="77777777" w:rsidR="00A62022" w:rsidRPr="00A05D59" w:rsidRDefault="00A62022" w:rsidP="00D81EF2">
            <w:pPr>
              <w:ind w:left="574"/>
              <w:jc w:val="both"/>
              <w:rPr>
                <w:sz w:val="24"/>
                <w:szCs w:val="24"/>
                <w:lang w:eastAsia="en-US"/>
              </w:rPr>
            </w:pPr>
            <w:r w:rsidRPr="00A05D59">
              <w:rPr>
                <w:sz w:val="24"/>
                <w:szCs w:val="24"/>
                <w:lang w:eastAsia="en-US"/>
              </w:rPr>
              <w:t xml:space="preserve"> (ii) bunuri și servicii</w:t>
            </w:r>
          </w:p>
          <w:p w14:paraId="4660E495" w14:textId="77777777" w:rsidR="00A62022" w:rsidRPr="00A05D59" w:rsidRDefault="00A62022" w:rsidP="00D81EF2">
            <w:pPr>
              <w:ind w:left="287"/>
              <w:jc w:val="both"/>
              <w:rPr>
                <w:sz w:val="24"/>
                <w:szCs w:val="24"/>
                <w:lang w:eastAsia="en-US"/>
              </w:rPr>
            </w:pPr>
            <w:r w:rsidRPr="00A05D59">
              <w:rPr>
                <w:sz w:val="24"/>
                <w:szCs w:val="24"/>
                <w:lang w:eastAsia="en-US"/>
              </w:rPr>
              <w:t>c) bugetul asigurărilor sociale de stat:</w:t>
            </w:r>
          </w:p>
          <w:p w14:paraId="0E2E0591" w14:textId="77777777" w:rsidR="00A62022" w:rsidRPr="00A05D59" w:rsidRDefault="00A62022" w:rsidP="00D81EF2">
            <w:pPr>
              <w:ind w:left="576"/>
              <w:jc w:val="both"/>
              <w:rPr>
                <w:sz w:val="24"/>
                <w:szCs w:val="24"/>
                <w:lang w:eastAsia="en-US"/>
              </w:rPr>
            </w:pPr>
            <w:r w:rsidRPr="00A05D59">
              <w:rPr>
                <w:sz w:val="24"/>
                <w:szCs w:val="24"/>
                <w:lang w:eastAsia="en-US"/>
              </w:rPr>
              <w:t>(i) cheltuieli de personal</w:t>
            </w:r>
          </w:p>
          <w:p w14:paraId="16985290" w14:textId="77777777" w:rsidR="00A62022" w:rsidRPr="00A05D59" w:rsidRDefault="00A62022" w:rsidP="00D81EF2">
            <w:pPr>
              <w:ind w:left="576"/>
              <w:jc w:val="both"/>
              <w:rPr>
                <w:sz w:val="24"/>
                <w:szCs w:val="24"/>
                <w:lang w:eastAsia="en-US"/>
              </w:rPr>
            </w:pPr>
            <w:r w:rsidRPr="00A05D59">
              <w:rPr>
                <w:sz w:val="24"/>
                <w:szCs w:val="24"/>
                <w:lang w:eastAsia="en-US"/>
              </w:rPr>
              <w:t>(ii) bunuri și servicii</w:t>
            </w:r>
          </w:p>
          <w:p w14:paraId="6CA40B58" w14:textId="77777777" w:rsidR="00A62022" w:rsidRPr="00A05D59" w:rsidRDefault="00A62022" w:rsidP="00E5575B">
            <w:pPr>
              <w:jc w:val="both"/>
              <w:rPr>
                <w:sz w:val="24"/>
                <w:szCs w:val="24"/>
                <w:lang w:eastAsia="en-US"/>
              </w:rPr>
            </w:pPr>
            <w:r w:rsidRPr="00A05D59">
              <w:rPr>
                <w:sz w:val="24"/>
                <w:szCs w:val="24"/>
                <w:lang w:eastAsia="en-US"/>
              </w:rPr>
              <w:t xml:space="preserve">    d) alte tipuri de venituri (se va menționa natura acestora)</w:t>
            </w:r>
          </w:p>
        </w:tc>
        <w:tc>
          <w:tcPr>
            <w:tcW w:w="5420" w:type="dxa"/>
            <w:gridSpan w:val="6"/>
          </w:tcPr>
          <w:p w14:paraId="6C540F2D" w14:textId="77777777" w:rsidR="00A62022" w:rsidRPr="00A05D59" w:rsidRDefault="00A62022" w:rsidP="00D81EF2">
            <w:pPr>
              <w:spacing w:before="120"/>
              <w:rPr>
                <w:sz w:val="24"/>
                <w:szCs w:val="24"/>
                <w:lang w:eastAsia="en-US"/>
              </w:rPr>
            </w:pPr>
          </w:p>
        </w:tc>
      </w:tr>
      <w:tr w:rsidR="00A62022" w:rsidRPr="00A05D59" w14:paraId="768C093C" w14:textId="77777777" w:rsidTr="00E6159A">
        <w:trPr>
          <w:gridAfter w:val="1"/>
          <w:wAfter w:w="27" w:type="dxa"/>
          <w:jc w:val="center"/>
        </w:trPr>
        <w:tc>
          <w:tcPr>
            <w:tcW w:w="4915" w:type="dxa"/>
          </w:tcPr>
          <w:p w14:paraId="2922732F" w14:textId="77777777" w:rsidR="00A62022" w:rsidRPr="00A05D59" w:rsidRDefault="00A62022" w:rsidP="00D81EF2">
            <w:pPr>
              <w:jc w:val="both"/>
              <w:rPr>
                <w:sz w:val="24"/>
                <w:szCs w:val="24"/>
                <w:lang w:eastAsia="en-US"/>
              </w:rPr>
            </w:pPr>
            <w:r w:rsidRPr="00A05D59">
              <w:rPr>
                <w:b/>
                <w:bCs/>
                <w:sz w:val="24"/>
                <w:szCs w:val="24"/>
                <w:lang w:eastAsia="en-US"/>
              </w:rPr>
              <w:t>4.3.</w:t>
            </w:r>
            <w:r w:rsidRPr="00A05D59">
              <w:rPr>
                <w:sz w:val="24"/>
                <w:szCs w:val="24"/>
                <w:lang w:eastAsia="en-US"/>
              </w:rPr>
              <w:t xml:space="preserve"> Impact financiar, plus/minus, din care:   </w:t>
            </w:r>
          </w:p>
          <w:p w14:paraId="29A9A0D3" w14:textId="77777777" w:rsidR="00A62022" w:rsidRPr="00A05D59" w:rsidRDefault="00A62022" w:rsidP="00D81EF2">
            <w:pPr>
              <w:numPr>
                <w:ilvl w:val="0"/>
                <w:numId w:val="13"/>
              </w:numPr>
              <w:ind w:left="357" w:hanging="357"/>
              <w:contextualSpacing/>
              <w:jc w:val="both"/>
              <w:rPr>
                <w:rFonts w:eastAsia="Calibri"/>
                <w:sz w:val="24"/>
                <w:szCs w:val="24"/>
                <w:lang w:eastAsia="en-US"/>
              </w:rPr>
            </w:pPr>
            <w:r w:rsidRPr="00A05D59">
              <w:rPr>
                <w:rFonts w:eastAsia="Calibri"/>
                <w:sz w:val="24"/>
                <w:szCs w:val="24"/>
                <w:lang w:eastAsia="en-US"/>
              </w:rPr>
              <w:t xml:space="preserve">buget de stat </w:t>
            </w:r>
          </w:p>
          <w:p w14:paraId="6B8B94D1" w14:textId="77777777" w:rsidR="00A62022" w:rsidRPr="00A05D59" w:rsidRDefault="00A62022" w:rsidP="00D81EF2">
            <w:pPr>
              <w:numPr>
                <w:ilvl w:val="0"/>
                <w:numId w:val="13"/>
              </w:numPr>
              <w:ind w:left="357" w:hanging="357"/>
              <w:contextualSpacing/>
              <w:jc w:val="both"/>
              <w:rPr>
                <w:rFonts w:eastAsia="Calibri"/>
                <w:sz w:val="24"/>
                <w:szCs w:val="24"/>
                <w:lang w:eastAsia="en-US"/>
              </w:rPr>
            </w:pPr>
            <w:r w:rsidRPr="00A05D59">
              <w:rPr>
                <w:rFonts w:eastAsia="Calibri"/>
                <w:sz w:val="24"/>
                <w:szCs w:val="24"/>
                <w:lang w:eastAsia="en-US"/>
              </w:rPr>
              <w:t xml:space="preserve">bugete locale </w:t>
            </w:r>
          </w:p>
        </w:tc>
        <w:tc>
          <w:tcPr>
            <w:tcW w:w="5420" w:type="dxa"/>
            <w:gridSpan w:val="6"/>
          </w:tcPr>
          <w:p w14:paraId="64D911C8" w14:textId="77777777" w:rsidR="00A62022" w:rsidRPr="00A05D59" w:rsidRDefault="00A62022" w:rsidP="00D81EF2">
            <w:pPr>
              <w:spacing w:after="60"/>
              <w:rPr>
                <w:sz w:val="24"/>
                <w:szCs w:val="24"/>
                <w:lang w:eastAsia="en-US"/>
              </w:rPr>
            </w:pPr>
          </w:p>
        </w:tc>
      </w:tr>
      <w:tr w:rsidR="00A62022" w:rsidRPr="00A05D59" w14:paraId="3CF22B84" w14:textId="77777777" w:rsidTr="00E6159A">
        <w:trPr>
          <w:gridAfter w:val="1"/>
          <w:wAfter w:w="27" w:type="dxa"/>
          <w:jc w:val="center"/>
        </w:trPr>
        <w:tc>
          <w:tcPr>
            <w:tcW w:w="4915" w:type="dxa"/>
          </w:tcPr>
          <w:p w14:paraId="754B2BFE" w14:textId="77777777" w:rsidR="00A62022" w:rsidRPr="00A05D59" w:rsidRDefault="00A62022" w:rsidP="002E4B9B">
            <w:pPr>
              <w:jc w:val="both"/>
              <w:rPr>
                <w:sz w:val="24"/>
                <w:szCs w:val="24"/>
                <w:lang w:eastAsia="en-US"/>
              </w:rPr>
            </w:pPr>
            <w:r w:rsidRPr="00A05D59">
              <w:rPr>
                <w:b/>
                <w:bCs/>
                <w:sz w:val="24"/>
                <w:szCs w:val="24"/>
                <w:lang w:eastAsia="en-US"/>
              </w:rPr>
              <w:t>4.4.</w:t>
            </w:r>
            <w:r w:rsidR="00E5575B" w:rsidRPr="00A05D59">
              <w:rPr>
                <w:b/>
                <w:bCs/>
                <w:sz w:val="24"/>
                <w:szCs w:val="24"/>
                <w:lang w:eastAsia="en-US"/>
              </w:rPr>
              <w:t xml:space="preserve"> </w:t>
            </w:r>
            <w:r w:rsidRPr="00A05D59">
              <w:rPr>
                <w:sz w:val="24"/>
                <w:szCs w:val="24"/>
                <w:lang w:eastAsia="en-US"/>
              </w:rPr>
              <w:t>Propuneri pentru acoperirea creșterii cheltuielilor bugetare</w:t>
            </w:r>
          </w:p>
        </w:tc>
        <w:tc>
          <w:tcPr>
            <w:tcW w:w="5420" w:type="dxa"/>
            <w:gridSpan w:val="6"/>
          </w:tcPr>
          <w:p w14:paraId="5FE3B060" w14:textId="77777777" w:rsidR="00A62022" w:rsidRPr="00A05D59" w:rsidRDefault="00A62022" w:rsidP="00D81EF2">
            <w:pPr>
              <w:spacing w:after="60"/>
              <w:rPr>
                <w:sz w:val="24"/>
                <w:szCs w:val="24"/>
                <w:lang w:eastAsia="en-US"/>
              </w:rPr>
            </w:pPr>
          </w:p>
        </w:tc>
      </w:tr>
      <w:tr w:rsidR="00A62022" w:rsidRPr="00A05D59" w14:paraId="73E70FED" w14:textId="77777777" w:rsidTr="00E6159A">
        <w:trPr>
          <w:gridAfter w:val="1"/>
          <w:wAfter w:w="27" w:type="dxa"/>
          <w:trHeight w:val="688"/>
          <w:jc w:val="center"/>
        </w:trPr>
        <w:tc>
          <w:tcPr>
            <w:tcW w:w="4915" w:type="dxa"/>
          </w:tcPr>
          <w:p w14:paraId="317C3C39" w14:textId="77777777" w:rsidR="00A62022" w:rsidRPr="00A05D59" w:rsidRDefault="00A62022" w:rsidP="002E4B9B">
            <w:pPr>
              <w:jc w:val="both"/>
              <w:rPr>
                <w:sz w:val="24"/>
                <w:szCs w:val="24"/>
                <w:lang w:eastAsia="en-US"/>
              </w:rPr>
            </w:pPr>
            <w:r w:rsidRPr="00A05D59">
              <w:rPr>
                <w:b/>
                <w:bCs/>
                <w:sz w:val="24"/>
                <w:szCs w:val="24"/>
                <w:lang w:eastAsia="en-US"/>
              </w:rPr>
              <w:t>4.5.</w:t>
            </w:r>
            <w:r w:rsidRPr="00A05D59">
              <w:rPr>
                <w:sz w:val="24"/>
                <w:szCs w:val="24"/>
                <w:lang w:eastAsia="en-US"/>
              </w:rPr>
              <w:t xml:space="preserve"> Propuneri pentru a compensa reducerea  veniturilor bugetare</w:t>
            </w:r>
          </w:p>
        </w:tc>
        <w:tc>
          <w:tcPr>
            <w:tcW w:w="5420" w:type="dxa"/>
            <w:gridSpan w:val="6"/>
          </w:tcPr>
          <w:p w14:paraId="061F2550" w14:textId="77777777" w:rsidR="00A62022" w:rsidRPr="00A05D59" w:rsidRDefault="00A62022" w:rsidP="00D81EF2">
            <w:pPr>
              <w:spacing w:after="60"/>
              <w:rPr>
                <w:sz w:val="24"/>
                <w:szCs w:val="24"/>
                <w:lang w:eastAsia="en-US"/>
              </w:rPr>
            </w:pPr>
          </w:p>
        </w:tc>
      </w:tr>
      <w:tr w:rsidR="00A62022" w:rsidRPr="00A05D59" w14:paraId="4197F385" w14:textId="77777777" w:rsidTr="00E6159A">
        <w:trPr>
          <w:gridAfter w:val="1"/>
          <w:wAfter w:w="27" w:type="dxa"/>
          <w:trHeight w:val="871"/>
          <w:jc w:val="center"/>
        </w:trPr>
        <w:tc>
          <w:tcPr>
            <w:tcW w:w="4915" w:type="dxa"/>
          </w:tcPr>
          <w:p w14:paraId="025AFB33" w14:textId="77777777" w:rsidR="00A62022" w:rsidRPr="00A05D59" w:rsidRDefault="00A62022" w:rsidP="002E4B9B">
            <w:pPr>
              <w:jc w:val="both"/>
              <w:rPr>
                <w:sz w:val="24"/>
                <w:szCs w:val="24"/>
                <w:lang w:eastAsia="en-US"/>
              </w:rPr>
            </w:pPr>
            <w:r w:rsidRPr="00A05D59">
              <w:rPr>
                <w:b/>
                <w:bCs/>
                <w:sz w:val="24"/>
                <w:szCs w:val="24"/>
                <w:lang w:eastAsia="en-US"/>
              </w:rPr>
              <w:t>4.6.</w:t>
            </w:r>
            <w:r w:rsidRPr="00A05D59">
              <w:rPr>
                <w:sz w:val="24"/>
                <w:szCs w:val="24"/>
                <w:lang w:eastAsia="en-US"/>
              </w:rPr>
              <w:t xml:space="preserve"> Calcule detaliate privind fundamentarea modificărilor veniturilor și/sau cheltuielilor bugetare</w:t>
            </w:r>
          </w:p>
        </w:tc>
        <w:tc>
          <w:tcPr>
            <w:tcW w:w="5420" w:type="dxa"/>
            <w:gridSpan w:val="6"/>
          </w:tcPr>
          <w:p w14:paraId="77638FFE" w14:textId="77777777" w:rsidR="00A62022" w:rsidRPr="00A05D59" w:rsidRDefault="00A62022" w:rsidP="002E4B9B">
            <w:pPr>
              <w:jc w:val="both"/>
              <w:rPr>
                <w:sz w:val="24"/>
                <w:szCs w:val="24"/>
                <w:lang w:eastAsia="en-US"/>
              </w:rPr>
            </w:pPr>
          </w:p>
        </w:tc>
      </w:tr>
      <w:tr w:rsidR="00A62022" w:rsidRPr="00A05D59" w14:paraId="4CFE3787" w14:textId="77777777" w:rsidTr="00E6159A">
        <w:trPr>
          <w:gridAfter w:val="1"/>
          <w:wAfter w:w="27" w:type="dxa"/>
          <w:trHeight w:val="871"/>
          <w:jc w:val="center"/>
        </w:trPr>
        <w:tc>
          <w:tcPr>
            <w:tcW w:w="4915" w:type="dxa"/>
          </w:tcPr>
          <w:p w14:paraId="7D66039D" w14:textId="77777777" w:rsidR="00A62022" w:rsidRPr="00A05D59" w:rsidRDefault="00A62022" w:rsidP="002E4B9B">
            <w:pPr>
              <w:spacing w:before="120"/>
              <w:jc w:val="both"/>
              <w:rPr>
                <w:sz w:val="24"/>
                <w:szCs w:val="24"/>
                <w:lang w:eastAsia="en-US"/>
              </w:rPr>
            </w:pPr>
            <w:r w:rsidRPr="00A05D59">
              <w:rPr>
                <w:b/>
                <w:bCs/>
                <w:sz w:val="24"/>
                <w:szCs w:val="24"/>
                <w:lang w:eastAsia="en-US"/>
              </w:rPr>
              <w:t>4.7.</w:t>
            </w:r>
            <w:r w:rsidRPr="00A05D59">
              <w:rPr>
                <w:sz w:val="24"/>
                <w:szCs w:val="24"/>
                <w:lang w:eastAsia="en-US"/>
              </w:rPr>
              <w:t xml:space="preserve"> Prezentarea, în cazul proiectelor de acte normative a căror adoptare atrage majorarea cheltuielilor bugetare, a următoarelor documente:</w:t>
            </w:r>
          </w:p>
          <w:p w14:paraId="4DA5971E" w14:textId="77777777" w:rsidR="00A62022" w:rsidRPr="00A05D59" w:rsidRDefault="00A62022" w:rsidP="002E4B9B">
            <w:pPr>
              <w:spacing w:before="120"/>
              <w:jc w:val="both"/>
              <w:rPr>
                <w:i/>
                <w:iCs/>
                <w:sz w:val="24"/>
                <w:szCs w:val="24"/>
                <w:lang w:eastAsia="en-US"/>
              </w:rPr>
            </w:pPr>
            <w:r w:rsidRPr="00A05D59">
              <w:rPr>
                <w:sz w:val="24"/>
                <w:szCs w:val="24"/>
                <w:lang w:eastAsia="en-US"/>
              </w:rPr>
              <w:t xml:space="preserve">a) </w:t>
            </w:r>
            <w:r w:rsidRPr="00A05D59">
              <w:rPr>
                <w:i/>
                <w:iCs/>
                <w:sz w:val="24"/>
                <w:szCs w:val="24"/>
                <w:lang w:eastAsia="en-US"/>
              </w:rPr>
              <w:t>fișa financiară prevăzută la art.15 din Legea nr. 500/2002 privind finanțele publice, cu modificările și completările ulterioare, însoțită de ipotezele și metodologia de calcul utilizată;</w:t>
            </w:r>
          </w:p>
          <w:p w14:paraId="64A3481E" w14:textId="77777777" w:rsidR="00A62022" w:rsidRPr="00A05D59" w:rsidRDefault="00A62022" w:rsidP="002E4B9B">
            <w:pPr>
              <w:spacing w:before="120"/>
              <w:jc w:val="both"/>
              <w:rPr>
                <w:sz w:val="24"/>
                <w:szCs w:val="24"/>
                <w:lang w:eastAsia="en-US"/>
              </w:rPr>
            </w:pPr>
            <w:r w:rsidRPr="00A05D59">
              <w:rPr>
                <w:i/>
                <w:iCs/>
                <w:sz w:val="24"/>
                <w:szCs w:val="24"/>
                <w:lang w:eastAsia="en-US"/>
              </w:rPr>
              <w:t>b) declarație conform căreia majorarea de cheltuială respectivă este compatibilă cu obiectivele și prioritățile strategice specificate în strategia fiscal-bugetară, cu legea bugetară anuală și cu plafoanele de cheltuieli prezentate</w:t>
            </w:r>
            <w:r w:rsidRPr="00A05D59">
              <w:rPr>
                <w:sz w:val="24"/>
                <w:szCs w:val="24"/>
                <w:lang w:eastAsia="en-US"/>
              </w:rPr>
              <w:t xml:space="preserve"> în strategia fisca-bugetară</w:t>
            </w:r>
          </w:p>
        </w:tc>
        <w:tc>
          <w:tcPr>
            <w:tcW w:w="5420" w:type="dxa"/>
            <w:gridSpan w:val="6"/>
          </w:tcPr>
          <w:p w14:paraId="67128827" w14:textId="77777777" w:rsidR="00A62022" w:rsidRPr="00A05D59" w:rsidRDefault="00A62022" w:rsidP="002E4B9B">
            <w:pPr>
              <w:spacing w:before="120"/>
              <w:jc w:val="both"/>
              <w:rPr>
                <w:sz w:val="24"/>
                <w:szCs w:val="24"/>
                <w:lang w:eastAsia="en-US"/>
              </w:rPr>
            </w:pPr>
          </w:p>
        </w:tc>
      </w:tr>
      <w:tr w:rsidR="00A62022" w:rsidRPr="00A05D59" w14:paraId="768EBD87" w14:textId="77777777" w:rsidTr="00E6159A">
        <w:trPr>
          <w:gridAfter w:val="1"/>
          <w:wAfter w:w="27" w:type="dxa"/>
          <w:jc w:val="center"/>
        </w:trPr>
        <w:tc>
          <w:tcPr>
            <w:tcW w:w="4915" w:type="dxa"/>
          </w:tcPr>
          <w:p w14:paraId="4FA51D72" w14:textId="77777777" w:rsidR="00A62022" w:rsidRPr="00A05D59" w:rsidRDefault="00A62022" w:rsidP="00D81EF2">
            <w:pPr>
              <w:spacing w:before="120" w:after="120"/>
              <w:jc w:val="both"/>
              <w:rPr>
                <w:sz w:val="24"/>
                <w:szCs w:val="24"/>
                <w:lang w:eastAsia="en-US"/>
              </w:rPr>
            </w:pPr>
            <w:r w:rsidRPr="00A05D59">
              <w:rPr>
                <w:b/>
                <w:bCs/>
                <w:sz w:val="24"/>
                <w:szCs w:val="24"/>
                <w:lang w:eastAsia="en-US"/>
              </w:rPr>
              <w:t>4.8.</w:t>
            </w:r>
            <w:r w:rsidRPr="00A05D59">
              <w:rPr>
                <w:sz w:val="24"/>
                <w:szCs w:val="24"/>
                <w:lang w:eastAsia="en-US"/>
              </w:rPr>
              <w:t xml:space="preserve"> Alte informații </w:t>
            </w:r>
          </w:p>
        </w:tc>
        <w:tc>
          <w:tcPr>
            <w:tcW w:w="5420" w:type="dxa"/>
            <w:gridSpan w:val="6"/>
          </w:tcPr>
          <w:p w14:paraId="0C676B5E" w14:textId="77777777" w:rsidR="00A62022" w:rsidRPr="00A05D59" w:rsidRDefault="00554D03" w:rsidP="00D81EF2">
            <w:pPr>
              <w:spacing w:before="120" w:after="60"/>
              <w:jc w:val="both"/>
              <w:rPr>
                <w:sz w:val="24"/>
                <w:szCs w:val="24"/>
                <w:lang w:eastAsia="en-US"/>
              </w:rPr>
            </w:pPr>
            <w:r w:rsidRPr="00A05D59">
              <w:rPr>
                <w:sz w:val="24"/>
                <w:szCs w:val="24"/>
                <w:lang w:val="pt-PT"/>
              </w:rPr>
              <w:t>Nu au fost identificate</w:t>
            </w:r>
            <w:r w:rsidRPr="00A05D59">
              <w:rPr>
                <w:sz w:val="24"/>
                <w:szCs w:val="24"/>
                <w:lang w:eastAsia="en-US"/>
              </w:rPr>
              <w:t xml:space="preserve"> </w:t>
            </w:r>
          </w:p>
        </w:tc>
      </w:tr>
      <w:tr w:rsidR="00A62022" w:rsidRPr="00A05D59" w14:paraId="5C357B29" w14:textId="77777777" w:rsidTr="00D47ECA">
        <w:trPr>
          <w:gridAfter w:val="1"/>
          <w:wAfter w:w="27" w:type="dxa"/>
          <w:jc w:val="center"/>
        </w:trPr>
        <w:tc>
          <w:tcPr>
            <w:tcW w:w="10335" w:type="dxa"/>
            <w:gridSpan w:val="7"/>
          </w:tcPr>
          <w:p w14:paraId="5D09CFB7" w14:textId="77777777" w:rsidR="00A62022" w:rsidRPr="00A05D59" w:rsidRDefault="00A62022" w:rsidP="00CA593D">
            <w:pPr>
              <w:jc w:val="center"/>
              <w:rPr>
                <w:b/>
                <w:sz w:val="24"/>
                <w:szCs w:val="24"/>
                <w:lang w:eastAsia="en-US"/>
              </w:rPr>
            </w:pPr>
            <w:r w:rsidRPr="00A05D59">
              <w:rPr>
                <w:b/>
                <w:sz w:val="24"/>
                <w:szCs w:val="24"/>
                <w:lang w:eastAsia="en-US"/>
              </w:rPr>
              <w:t>Secțiunea a 5-a</w:t>
            </w:r>
          </w:p>
          <w:p w14:paraId="5C727A11" w14:textId="77777777" w:rsidR="00CA593D" w:rsidRPr="00A05D59" w:rsidRDefault="00A62022" w:rsidP="003D7731">
            <w:pPr>
              <w:jc w:val="center"/>
              <w:rPr>
                <w:b/>
                <w:sz w:val="24"/>
                <w:szCs w:val="24"/>
                <w:lang w:eastAsia="en-US"/>
              </w:rPr>
            </w:pPr>
            <w:r w:rsidRPr="00A05D59">
              <w:rPr>
                <w:b/>
                <w:sz w:val="24"/>
                <w:szCs w:val="24"/>
                <w:lang w:eastAsia="en-US"/>
              </w:rPr>
              <w:t>Efectele actului normativ asupra legislației în vigoare</w:t>
            </w:r>
          </w:p>
          <w:p w14:paraId="2EC1CF2B" w14:textId="77777777" w:rsidR="00DE4486" w:rsidRPr="00A05D59" w:rsidRDefault="00DE4486" w:rsidP="003D7731">
            <w:pPr>
              <w:jc w:val="center"/>
              <w:rPr>
                <w:b/>
                <w:sz w:val="24"/>
                <w:szCs w:val="24"/>
                <w:lang w:eastAsia="en-US"/>
              </w:rPr>
            </w:pPr>
          </w:p>
        </w:tc>
      </w:tr>
      <w:tr w:rsidR="00CD114E" w:rsidRPr="00A05D59" w14:paraId="1F743D67" w14:textId="77777777" w:rsidTr="00D47ECA">
        <w:trPr>
          <w:gridAfter w:val="1"/>
          <w:wAfter w:w="27" w:type="dxa"/>
          <w:jc w:val="center"/>
        </w:trPr>
        <w:tc>
          <w:tcPr>
            <w:tcW w:w="10335" w:type="dxa"/>
            <w:gridSpan w:val="7"/>
          </w:tcPr>
          <w:p w14:paraId="0AC2CC3C" w14:textId="77777777" w:rsidR="00CD114E" w:rsidRPr="00D43B87" w:rsidRDefault="00CD114E" w:rsidP="00D81EF2">
            <w:pPr>
              <w:jc w:val="both"/>
              <w:rPr>
                <w:sz w:val="24"/>
                <w:szCs w:val="24"/>
                <w:lang w:eastAsia="en-US"/>
              </w:rPr>
            </w:pPr>
            <w:r w:rsidRPr="00D43B87">
              <w:rPr>
                <w:b/>
                <w:bCs/>
                <w:sz w:val="24"/>
                <w:szCs w:val="24"/>
                <w:lang w:eastAsia="en-US"/>
              </w:rPr>
              <w:t>5.1.</w:t>
            </w:r>
            <w:r w:rsidRPr="00D43B87">
              <w:rPr>
                <w:sz w:val="24"/>
                <w:szCs w:val="24"/>
                <w:lang w:eastAsia="en-US"/>
              </w:rPr>
              <w:t xml:space="preserve"> Măsuri normative necesare pentru aplicarea prevederilor actului normativ:</w:t>
            </w:r>
          </w:p>
          <w:p w14:paraId="6E21C255" w14:textId="27E3A359" w:rsidR="00CD114E" w:rsidRDefault="00CD114E" w:rsidP="00D81EF2">
            <w:pPr>
              <w:numPr>
                <w:ilvl w:val="0"/>
                <w:numId w:val="15"/>
              </w:numPr>
              <w:tabs>
                <w:tab w:val="left" w:pos="247"/>
              </w:tabs>
              <w:ind w:left="0" w:hanging="23"/>
              <w:contextualSpacing/>
              <w:jc w:val="both"/>
              <w:rPr>
                <w:rFonts w:eastAsia="Calibri"/>
                <w:sz w:val="24"/>
                <w:szCs w:val="24"/>
                <w:lang w:eastAsia="en-US"/>
              </w:rPr>
            </w:pPr>
            <w:r w:rsidRPr="00D43B87">
              <w:rPr>
                <w:rFonts w:eastAsia="Calibri"/>
                <w:sz w:val="24"/>
                <w:szCs w:val="24"/>
                <w:lang w:eastAsia="en-US"/>
              </w:rPr>
              <w:t>acte normative în vigoare ce vor fi modificate sau abrogate, ca urmare a intrării în vigoare a actului normativ</w:t>
            </w:r>
            <w:r w:rsidR="00531836">
              <w:rPr>
                <w:rFonts w:eastAsia="Calibri"/>
                <w:sz w:val="24"/>
                <w:szCs w:val="24"/>
                <w:lang w:eastAsia="en-US"/>
              </w:rPr>
              <w:t>:</w:t>
            </w:r>
          </w:p>
          <w:p w14:paraId="52B22CB6" w14:textId="47B32748" w:rsidR="00531836" w:rsidRDefault="00531836" w:rsidP="00531836">
            <w:pPr>
              <w:tabs>
                <w:tab w:val="left" w:pos="247"/>
              </w:tabs>
              <w:contextualSpacing/>
              <w:jc w:val="both"/>
              <w:rPr>
                <w:sz w:val="24"/>
                <w:szCs w:val="24"/>
              </w:rPr>
            </w:pPr>
            <w:r>
              <w:rPr>
                <w:rFonts w:eastAsia="Calibri"/>
                <w:sz w:val="24"/>
                <w:szCs w:val="24"/>
                <w:lang w:eastAsia="en-US"/>
              </w:rPr>
              <w:t xml:space="preserve">- </w:t>
            </w:r>
            <w:r w:rsidRPr="004A226E">
              <w:rPr>
                <w:sz w:val="24"/>
                <w:szCs w:val="24"/>
              </w:rPr>
              <w:t>Ordonanţa de urgenţă a Guvernului nr. 140/2021 privind anumite aspecte referitoare la contractele de vânzare de bunuri</w:t>
            </w:r>
            <w:r>
              <w:rPr>
                <w:sz w:val="24"/>
                <w:szCs w:val="24"/>
              </w:rPr>
              <w:t>;</w:t>
            </w:r>
          </w:p>
          <w:p w14:paraId="2D00B26B" w14:textId="11E17987" w:rsidR="00531836" w:rsidRDefault="00531836" w:rsidP="00531836">
            <w:pPr>
              <w:tabs>
                <w:tab w:val="left" w:pos="247"/>
              </w:tabs>
              <w:contextualSpacing/>
              <w:jc w:val="both"/>
              <w:rPr>
                <w:sz w:val="24"/>
                <w:szCs w:val="24"/>
              </w:rPr>
            </w:pPr>
            <w:r>
              <w:rPr>
                <w:sz w:val="24"/>
                <w:szCs w:val="24"/>
              </w:rPr>
              <w:t xml:space="preserve">- </w:t>
            </w:r>
            <w:r w:rsidRPr="004A226E">
              <w:rPr>
                <w:sz w:val="24"/>
                <w:szCs w:val="24"/>
              </w:rPr>
              <w:t>Anexa la Legea nr. 414/2023 privind desfăşurarea acţiunilor în reprezentare pentru protecţia intereselor colective ale consumatorilor</w:t>
            </w:r>
            <w:r>
              <w:rPr>
                <w:sz w:val="24"/>
                <w:szCs w:val="24"/>
              </w:rPr>
              <w:t>;</w:t>
            </w:r>
          </w:p>
          <w:p w14:paraId="230FBCBD" w14:textId="3C66886F" w:rsidR="00531836" w:rsidRPr="00D43B87" w:rsidRDefault="00531836" w:rsidP="00531836">
            <w:pPr>
              <w:tabs>
                <w:tab w:val="left" w:pos="247"/>
              </w:tabs>
              <w:contextualSpacing/>
              <w:jc w:val="both"/>
              <w:rPr>
                <w:rFonts w:eastAsia="Calibri"/>
                <w:sz w:val="24"/>
                <w:szCs w:val="24"/>
                <w:lang w:eastAsia="en-US"/>
              </w:rPr>
            </w:pPr>
            <w:r>
              <w:rPr>
                <w:sz w:val="24"/>
                <w:szCs w:val="24"/>
              </w:rPr>
              <w:t>- A</w:t>
            </w:r>
            <w:r w:rsidRPr="004A226E">
              <w:rPr>
                <w:sz w:val="24"/>
                <w:szCs w:val="24"/>
              </w:rPr>
              <w:t xml:space="preserve">nexa la Hotărârea Guvernului nr. 444/2020 privind stabilirea cadrului instituţional şi a unor măsuri pentru punerea în aplicare a prevederilor art. 5 alin. (1) din Regulamentul (UE) 2017/2.394 al Parlamentului European şi al Consiliului din 12 decembrie 2017 privind cooperarea dintre autorităţile </w:t>
            </w:r>
            <w:r w:rsidRPr="004A226E">
              <w:rPr>
                <w:sz w:val="24"/>
                <w:szCs w:val="24"/>
              </w:rPr>
              <w:lastRenderedPageBreak/>
              <w:t>naţionale însărcinate să asigure respectarea legislaţiei în materie de protecţie a consumatorului şi de abrogare a Regulamentului (CE) nr. 2.006/2004</w:t>
            </w:r>
          </w:p>
          <w:p w14:paraId="26A83E8C" w14:textId="77777777" w:rsidR="00CD114E" w:rsidRPr="00D43B87" w:rsidRDefault="00CD114E" w:rsidP="00D81EF2">
            <w:pPr>
              <w:spacing w:before="120" w:after="120"/>
              <w:rPr>
                <w:b/>
                <w:sz w:val="24"/>
                <w:szCs w:val="24"/>
                <w:lang w:eastAsia="en-US"/>
              </w:rPr>
            </w:pPr>
            <w:r w:rsidRPr="00D43B87">
              <w:rPr>
                <w:rFonts w:eastAsia="Calibri"/>
                <w:sz w:val="24"/>
                <w:szCs w:val="24"/>
                <w:lang w:eastAsia="en-US"/>
              </w:rPr>
              <w:t>b) acte normative ce urmează a fi elaborate în vederea implementării noilor dispoziții.</w:t>
            </w:r>
          </w:p>
        </w:tc>
      </w:tr>
      <w:tr w:rsidR="00CD114E" w:rsidRPr="00A05D59" w14:paraId="764959D0" w14:textId="77777777" w:rsidTr="00D47ECA">
        <w:trPr>
          <w:gridAfter w:val="1"/>
          <w:wAfter w:w="27" w:type="dxa"/>
          <w:jc w:val="center"/>
        </w:trPr>
        <w:tc>
          <w:tcPr>
            <w:tcW w:w="10335" w:type="dxa"/>
            <w:gridSpan w:val="7"/>
          </w:tcPr>
          <w:p w14:paraId="49646944" w14:textId="77777777" w:rsidR="00CD114E" w:rsidRPr="00D43B87" w:rsidRDefault="00CD114E" w:rsidP="00D81EF2">
            <w:pPr>
              <w:jc w:val="both"/>
              <w:rPr>
                <w:sz w:val="24"/>
                <w:szCs w:val="24"/>
              </w:rPr>
            </w:pPr>
            <w:r w:rsidRPr="00D43B87">
              <w:rPr>
                <w:b/>
                <w:bCs/>
                <w:sz w:val="24"/>
                <w:szCs w:val="24"/>
              </w:rPr>
              <w:lastRenderedPageBreak/>
              <w:t>5.2.</w:t>
            </w:r>
            <w:r w:rsidRPr="00D43B87">
              <w:rPr>
                <w:sz w:val="24"/>
                <w:szCs w:val="24"/>
              </w:rPr>
              <w:t xml:space="preserve"> Impactul asupra legislației în domeniul achizițiilor publice</w:t>
            </w:r>
          </w:p>
          <w:p w14:paraId="2C272F2B" w14:textId="77777777" w:rsidR="00970FC4" w:rsidRPr="00D43B87" w:rsidRDefault="00CD114E" w:rsidP="003D7731">
            <w:pPr>
              <w:jc w:val="both"/>
              <w:rPr>
                <w:sz w:val="24"/>
                <w:szCs w:val="24"/>
                <w:lang w:eastAsia="en-US"/>
              </w:rPr>
            </w:pPr>
            <w:r w:rsidRPr="00D43B87">
              <w:rPr>
                <w:sz w:val="24"/>
                <w:szCs w:val="24"/>
                <w:lang w:eastAsia="en-US"/>
              </w:rPr>
              <w:t>Prezentul act normativ nu se referă la acest subiect</w:t>
            </w:r>
            <w:r w:rsidR="00C70FA3" w:rsidRPr="00D43B87">
              <w:rPr>
                <w:sz w:val="24"/>
                <w:szCs w:val="24"/>
                <w:lang w:eastAsia="en-US"/>
              </w:rPr>
              <w:t>.</w:t>
            </w:r>
          </w:p>
        </w:tc>
      </w:tr>
      <w:tr w:rsidR="00CD114E" w:rsidRPr="00A05D59" w14:paraId="0E2ED769" w14:textId="77777777" w:rsidTr="00D47ECA">
        <w:trPr>
          <w:gridAfter w:val="1"/>
          <w:wAfter w:w="27" w:type="dxa"/>
          <w:jc w:val="center"/>
        </w:trPr>
        <w:tc>
          <w:tcPr>
            <w:tcW w:w="10335" w:type="dxa"/>
            <w:gridSpan w:val="7"/>
          </w:tcPr>
          <w:p w14:paraId="77076E8E" w14:textId="77777777" w:rsidR="00CD114E" w:rsidRPr="00A05D59" w:rsidRDefault="00CD114E" w:rsidP="00D81EF2">
            <w:pPr>
              <w:jc w:val="both"/>
              <w:rPr>
                <w:sz w:val="24"/>
                <w:szCs w:val="24"/>
                <w:lang w:eastAsia="en-US"/>
              </w:rPr>
            </w:pPr>
            <w:r w:rsidRPr="00A05D59">
              <w:rPr>
                <w:b/>
                <w:bCs/>
                <w:sz w:val="24"/>
                <w:szCs w:val="24"/>
                <w:lang w:eastAsia="en-US"/>
              </w:rPr>
              <w:t>5.3.</w:t>
            </w:r>
            <w:r w:rsidRPr="00A05D59">
              <w:rPr>
                <w:sz w:val="24"/>
                <w:szCs w:val="24"/>
                <w:lang w:eastAsia="en-US"/>
              </w:rPr>
              <w:t xml:space="preserve"> Conformitatea  actului normativ cu legislația UE (în cazul proiectelor ce transpun  sau asigură aplicarea unor prevederi de drept UE) </w:t>
            </w:r>
          </w:p>
          <w:p w14:paraId="7329304C" w14:textId="77777777" w:rsidR="00EA666E" w:rsidRPr="00A05D59" w:rsidRDefault="00554D03" w:rsidP="00D81EF2">
            <w:pPr>
              <w:jc w:val="both"/>
              <w:rPr>
                <w:bCs/>
                <w:iCs/>
                <w:noProof/>
                <w:sz w:val="24"/>
                <w:szCs w:val="24"/>
              </w:rPr>
            </w:pPr>
            <w:r w:rsidRPr="00A05D59">
              <w:rPr>
                <w:sz w:val="24"/>
                <w:szCs w:val="24"/>
              </w:rPr>
              <w:t xml:space="preserve">Proiectul de act normativ stabilește măsurile pentru </w:t>
            </w:r>
            <w:r w:rsidR="00F07709" w:rsidRPr="00A05D59">
              <w:rPr>
                <w:sz w:val="24"/>
                <w:szCs w:val="24"/>
              </w:rPr>
              <w:t xml:space="preserve">transpunerea </w:t>
            </w:r>
            <w:r w:rsidR="00A05D59" w:rsidRPr="00A05D59">
              <w:rPr>
                <w:bCs/>
                <w:iCs/>
                <w:noProof/>
                <w:sz w:val="24"/>
                <w:szCs w:val="24"/>
              </w:rPr>
              <w:t>Directiva (UE) 2024/1799 a Parlamentului European și a  Consiliului din 13 iunie 2024 privind normele comune de promovare a reparării bunurilor și de modificare a Regulamentului (UE) 2017/2394 și a Directivelor (UE) 2019/771 și (UE) 2020/1828, publicată în JO L2024/1799</w:t>
            </w:r>
          </w:p>
        </w:tc>
      </w:tr>
      <w:tr w:rsidR="00CD114E" w:rsidRPr="00A05D59" w14:paraId="1397524A" w14:textId="77777777" w:rsidTr="00D47ECA">
        <w:trPr>
          <w:gridAfter w:val="1"/>
          <w:wAfter w:w="27" w:type="dxa"/>
          <w:jc w:val="center"/>
        </w:trPr>
        <w:tc>
          <w:tcPr>
            <w:tcW w:w="10335" w:type="dxa"/>
            <w:gridSpan w:val="7"/>
          </w:tcPr>
          <w:p w14:paraId="360A9E1A" w14:textId="77777777" w:rsidR="00CD114E" w:rsidRPr="00A05D59" w:rsidRDefault="00CD114E" w:rsidP="00D81EF2">
            <w:pPr>
              <w:jc w:val="both"/>
              <w:rPr>
                <w:sz w:val="24"/>
                <w:szCs w:val="24"/>
                <w:lang w:eastAsia="en-US"/>
              </w:rPr>
            </w:pPr>
            <w:r w:rsidRPr="00A05D59">
              <w:rPr>
                <w:b/>
                <w:bCs/>
                <w:sz w:val="24"/>
                <w:szCs w:val="24"/>
                <w:lang w:eastAsia="en-US"/>
              </w:rPr>
              <w:t>5.3.1.</w:t>
            </w:r>
            <w:r w:rsidRPr="00A05D59">
              <w:rPr>
                <w:sz w:val="24"/>
                <w:szCs w:val="24"/>
                <w:lang w:eastAsia="en-US"/>
              </w:rPr>
              <w:t xml:space="preserve"> Măsuri normative necesare transpunerii directvelor UE</w:t>
            </w:r>
          </w:p>
          <w:p w14:paraId="506025CF" w14:textId="77777777" w:rsidR="00970FC4" w:rsidRPr="00A05D59" w:rsidRDefault="00CD114E" w:rsidP="003D7731">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41D901E1" w14:textId="77777777" w:rsidTr="00D47ECA">
        <w:trPr>
          <w:gridAfter w:val="1"/>
          <w:wAfter w:w="27" w:type="dxa"/>
          <w:jc w:val="center"/>
        </w:trPr>
        <w:tc>
          <w:tcPr>
            <w:tcW w:w="10335" w:type="dxa"/>
            <w:gridSpan w:val="7"/>
          </w:tcPr>
          <w:p w14:paraId="2F3C9D6D" w14:textId="77777777" w:rsidR="00CD114E" w:rsidRPr="00A05D59" w:rsidRDefault="00CD114E" w:rsidP="00D81EF2">
            <w:pPr>
              <w:jc w:val="both"/>
              <w:rPr>
                <w:sz w:val="24"/>
                <w:szCs w:val="24"/>
                <w:lang w:eastAsia="en-US"/>
              </w:rPr>
            </w:pPr>
            <w:r w:rsidRPr="00A05D59">
              <w:rPr>
                <w:b/>
                <w:bCs/>
                <w:sz w:val="24"/>
                <w:szCs w:val="24"/>
                <w:lang w:eastAsia="en-US"/>
              </w:rPr>
              <w:t>5.3.2.</w:t>
            </w:r>
            <w:r w:rsidRPr="00A05D59">
              <w:rPr>
                <w:sz w:val="24"/>
                <w:szCs w:val="24"/>
                <w:lang w:eastAsia="en-US"/>
              </w:rPr>
              <w:t xml:space="preserve"> Măsuri normative necesare aplicării actelor legislative UE</w:t>
            </w:r>
          </w:p>
          <w:p w14:paraId="43702F72" w14:textId="77777777" w:rsidR="00554D03" w:rsidRPr="00A05D59" w:rsidRDefault="00EA666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00427DDC" w14:textId="77777777" w:rsidTr="00D47ECA">
        <w:trPr>
          <w:gridAfter w:val="1"/>
          <w:wAfter w:w="27" w:type="dxa"/>
          <w:jc w:val="center"/>
        </w:trPr>
        <w:tc>
          <w:tcPr>
            <w:tcW w:w="10335" w:type="dxa"/>
            <w:gridSpan w:val="7"/>
          </w:tcPr>
          <w:p w14:paraId="3D29E9EF" w14:textId="77777777" w:rsidR="00CD114E" w:rsidRPr="00A05D59" w:rsidRDefault="00CD114E" w:rsidP="00D81EF2">
            <w:pPr>
              <w:jc w:val="both"/>
              <w:rPr>
                <w:sz w:val="24"/>
                <w:szCs w:val="24"/>
                <w:lang w:eastAsia="en-US"/>
              </w:rPr>
            </w:pPr>
            <w:r w:rsidRPr="00A05D59">
              <w:rPr>
                <w:b/>
                <w:bCs/>
                <w:sz w:val="24"/>
                <w:szCs w:val="24"/>
                <w:lang w:eastAsia="en-US"/>
              </w:rPr>
              <w:t>5.4.</w:t>
            </w:r>
            <w:r w:rsidRPr="00A05D59">
              <w:rPr>
                <w:sz w:val="24"/>
                <w:szCs w:val="24"/>
                <w:lang w:eastAsia="en-US"/>
              </w:rPr>
              <w:t xml:space="preserve"> Hotărâri ale Curții de Justiție a Uniunii Europene</w:t>
            </w:r>
          </w:p>
          <w:p w14:paraId="0C003D76" w14:textId="77777777" w:rsidR="00CD114E" w:rsidRPr="00A05D59" w:rsidRDefault="00CD114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7C365E2F" w14:textId="77777777" w:rsidTr="00D47ECA">
        <w:trPr>
          <w:gridAfter w:val="1"/>
          <w:wAfter w:w="27" w:type="dxa"/>
          <w:jc w:val="center"/>
        </w:trPr>
        <w:tc>
          <w:tcPr>
            <w:tcW w:w="10335" w:type="dxa"/>
            <w:gridSpan w:val="7"/>
          </w:tcPr>
          <w:p w14:paraId="11E317EC" w14:textId="77777777" w:rsidR="00CD114E" w:rsidRPr="00A05D59" w:rsidRDefault="00CD114E" w:rsidP="00D81EF2">
            <w:pPr>
              <w:jc w:val="both"/>
              <w:rPr>
                <w:sz w:val="24"/>
                <w:szCs w:val="24"/>
                <w:lang w:eastAsia="en-US"/>
              </w:rPr>
            </w:pPr>
            <w:r w:rsidRPr="00A05D59">
              <w:rPr>
                <w:b/>
                <w:bCs/>
                <w:sz w:val="24"/>
                <w:szCs w:val="24"/>
                <w:lang w:eastAsia="en-US"/>
              </w:rPr>
              <w:t>5.5.</w:t>
            </w:r>
            <w:r w:rsidRPr="00A05D59">
              <w:rPr>
                <w:sz w:val="24"/>
                <w:szCs w:val="24"/>
                <w:lang w:eastAsia="en-US"/>
              </w:rPr>
              <w:t xml:space="preserve"> Alte acte normative și/sau documente internaționale din care decurg angajamente asumate</w:t>
            </w:r>
          </w:p>
          <w:p w14:paraId="501978A6" w14:textId="77777777" w:rsidR="00CD114E" w:rsidRPr="00A05D59" w:rsidRDefault="00CD114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31A5B564" w14:textId="77777777" w:rsidTr="00D47ECA">
        <w:trPr>
          <w:gridAfter w:val="1"/>
          <w:wAfter w:w="27" w:type="dxa"/>
          <w:jc w:val="center"/>
        </w:trPr>
        <w:tc>
          <w:tcPr>
            <w:tcW w:w="10335" w:type="dxa"/>
            <w:gridSpan w:val="7"/>
          </w:tcPr>
          <w:p w14:paraId="4CC83A58" w14:textId="77777777" w:rsidR="00CD114E" w:rsidRPr="00A05D59" w:rsidRDefault="00CD114E" w:rsidP="00D81EF2">
            <w:pPr>
              <w:jc w:val="both"/>
              <w:rPr>
                <w:sz w:val="24"/>
                <w:szCs w:val="24"/>
                <w:lang w:eastAsia="en-US"/>
              </w:rPr>
            </w:pPr>
            <w:r w:rsidRPr="00A05D59">
              <w:rPr>
                <w:b/>
                <w:bCs/>
                <w:sz w:val="24"/>
                <w:szCs w:val="24"/>
                <w:lang w:eastAsia="en-US"/>
              </w:rPr>
              <w:t>5.6.</w:t>
            </w:r>
            <w:r w:rsidRPr="00A05D59">
              <w:rPr>
                <w:sz w:val="24"/>
                <w:szCs w:val="24"/>
                <w:lang w:eastAsia="en-US"/>
              </w:rPr>
              <w:t xml:space="preserve"> Alte informații</w:t>
            </w:r>
          </w:p>
          <w:p w14:paraId="387312D1" w14:textId="77777777" w:rsidR="00CD114E" w:rsidRPr="00A05D59" w:rsidRDefault="00554D03" w:rsidP="00D81EF2">
            <w:pPr>
              <w:jc w:val="both"/>
              <w:rPr>
                <w:sz w:val="24"/>
                <w:szCs w:val="24"/>
                <w:lang w:eastAsia="en-US"/>
              </w:rPr>
            </w:pPr>
            <w:r w:rsidRPr="00A05D59">
              <w:rPr>
                <w:sz w:val="24"/>
                <w:szCs w:val="24"/>
              </w:rPr>
              <w:t>Nu au fost identificate</w:t>
            </w:r>
            <w:r w:rsidR="00C70FA3" w:rsidRPr="00A05D59">
              <w:rPr>
                <w:sz w:val="24"/>
                <w:szCs w:val="24"/>
              </w:rPr>
              <w:t>.</w:t>
            </w:r>
          </w:p>
        </w:tc>
      </w:tr>
      <w:tr w:rsidR="00A62022" w:rsidRPr="00A05D59" w14:paraId="3479576A" w14:textId="77777777" w:rsidTr="00D47ECA">
        <w:trPr>
          <w:gridAfter w:val="1"/>
          <w:wAfter w:w="27" w:type="dxa"/>
          <w:jc w:val="center"/>
        </w:trPr>
        <w:tc>
          <w:tcPr>
            <w:tcW w:w="10335" w:type="dxa"/>
            <w:gridSpan w:val="7"/>
          </w:tcPr>
          <w:p w14:paraId="3D2C9286" w14:textId="77777777" w:rsidR="00A62022" w:rsidRPr="00A05D59" w:rsidRDefault="00A62022" w:rsidP="00CA593D">
            <w:pPr>
              <w:jc w:val="center"/>
              <w:rPr>
                <w:b/>
                <w:sz w:val="24"/>
                <w:szCs w:val="24"/>
                <w:lang w:eastAsia="en-US"/>
              </w:rPr>
            </w:pPr>
            <w:r w:rsidRPr="00A05D59">
              <w:rPr>
                <w:b/>
                <w:sz w:val="24"/>
                <w:szCs w:val="24"/>
                <w:lang w:eastAsia="en-US"/>
              </w:rPr>
              <w:t xml:space="preserve">Secțiunea a 6-a </w:t>
            </w:r>
          </w:p>
          <w:p w14:paraId="71FDE64F" w14:textId="77777777" w:rsidR="00DE4486" w:rsidRPr="00A05D59" w:rsidRDefault="00A62022" w:rsidP="00DE4486">
            <w:pPr>
              <w:spacing w:before="120" w:after="120"/>
              <w:jc w:val="center"/>
              <w:rPr>
                <w:b/>
                <w:sz w:val="24"/>
                <w:szCs w:val="24"/>
                <w:lang w:eastAsia="en-US"/>
              </w:rPr>
            </w:pPr>
            <w:r w:rsidRPr="00A05D59">
              <w:rPr>
                <w:b/>
                <w:sz w:val="24"/>
                <w:szCs w:val="24"/>
                <w:lang w:eastAsia="en-US"/>
              </w:rPr>
              <w:t>Consultările efectuate în vederea elaborării actului normativ</w:t>
            </w:r>
          </w:p>
        </w:tc>
      </w:tr>
      <w:tr w:rsidR="003F4E20" w:rsidRPr="00A05D59" w14:paraId="4E63B181" w14:textId="77777777" w:rsidTr="00D47ECA">
        <w:trPr>
          <w:gridAfter w:val="1"/>
          <w:wAfter w:w="27" w:type="dxa"/>
          <w:jc w:val="center"/>
        </w:trPr>
        <w:tc>
          <w:tcPr>
            <w:tcW w:w="10335" w:type="dxa"/>
            <w:gridSpan w:val="7"/>
          </w:tcPr>
          <w:p w14:paraId="2E1B5AF2" w14:textId="77777777" w:rsidR="003F4E20" w:rsidRPr="00A05D59" w:rsidRDefault="003F4E20" w:rsidP="003D7731">
            <w:pPr>
              <w:rPr>
                <w:sz w:val="24"/>
                <w:szCs w:val="24"/>
                <w:lang w:eastAsia="en-US"/>
              </w:rPr>
            </w:pPr>
            <w:r w:rsidRPr="00A05D59">
              <w:rPr>
                <w:b/>
                <w:bCs/>
                <w:sz w:val="24"/>
                <w:szCs w:val="24"/>
                <w:lang w:eastAsia="en-US"/>
              </w:rPr>
              <w:t>6.1.</w:t>
            </w:r>
            <w:r w:rsidRPr="00A05D59">
              <w:rPr>
                <w:sz w:val="24"/>
                <w:szCs w:val="24"/>
                <w:lang w:eastAsia="en-US"/>
              </w:rPr>
              <w:t xml:space="preserve"> Informații privind neaplicarea procedurii de participare la elaborarea actelor normative</w:t>
            </w:r>
          </w:p>
          <w:p w14:paraId="6A7CBCCB" w14:textId="77777777" w:rsidR="003F4E20" w:rsidRPr="00A05D59" w:rsidRDefault="003F4E20" w:rsidP="003D7731">
            <w:pPr>
              <w:rPr>
                <w:b/>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2B7BB9E9" w14:textId="77777777" w:rsidTr="00D47ECA">
        <w:trPr>
          <w:gridAfter w:val="1"/>
          <w:wAfter w:w="27" w:type="dxa"/>
          <w:jc w:val="center"/>
        </w:trPr>
        <w:tc>
          <w:tcPr>
            <w:tcW w:w="10335" w:type="dxa"/>
            <w:gridSpan w:val="7"/>
          </w:tcPr>
          <w:p w14:paraId="619D8212" w14:textId="77777777" w:rsidR="003F4E20" w:rsidRPr="00A05D59" w:rsidRDefault="003F4E20" w:rsidP="003D7731">
            <w:pPr>
              <w:rPr>
                <w:sz w:val="24"/>
                <w:szCs w:val="24"/>
                <w:lang w:eastAsia="en-US"/>
              </w:rPr>
            </w:pPr>
            <w:r w:rsidRPr="00A05D59">
              <w:rPr>
                <w:b/>
                <w:bCs/>
                <w:sz w:val="24"/>
                <w:szCs w:val="24"/>
                <w:lang w:eastAsia="en-US"/>
              </w:rPr>
              <w:t>6.2.</w:t>
            </w:r>
            <w:r w:rsidRPr="00A05D59">
              <w:rPr>
                <w:sz w:val="24"/>
                <w:szCs w:val="24"/>
                <w:lang w:eastAsia="en-US"/>
              </w:rPr>
              <w:t xml:space="preserve"> Informații privind procesul de consultare cu organizații neguvernamentale, institute de cercetare și alte organisme implicate</w:t>
            </w:r>
          </w:p>
          <w:p w14:paraId="7293CF11" w14:textId="77777777" w:rsidR="003F4E20" w:rsidRPr="00A05D59" w:rsidRDefault="003F4E20"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11D8B57A" w14:textId="77777777" w:rsidTr="00D47ECA">
        <w:trPr>
          <w:gridAfter w:val="1"/>
          <w:wAfter w:w="27" w:type="dxa"/>
          <w:jc w:val="center"/>
        </w:trPr>
        <w:tc>
          <w:tcPr>
            <w:tcW w:w="10335" w:type="dxa"/>
            <w:gridSpan w:val="7"/>
          </w:tcPr>
          <w:p w14:paraId="4497E780" w14:textId="77777777" w:rsidR="003F4E20" w:rsidRPr="00A05D59" w:rsidRDefault="003F4E20" w:rsidP="003D7731">
            <w:pPr>
              <w:rPr>
                <w:sz w:val="24"/>
                <w:szCs w:val="24"/>
                <w:lang w:eastAsia="en-US"/>
              </w:rPr>
            </w:pPr>
            <w:r w:rsidRPr="00A05D59">
              <w:rPr>
                <w:b/>
                <w:bCs/>
                <w:sz w:val="24"/>
                <w:szCs w:val="24"/>
                <w:lang w:eastAsia="en-US"/>
              </w:rPr>
              <w:t>6.3.</w:t>
            </w:r>
            <w:r w:rsidRPr="00A05D59">
              <w:rPr>
                <w:sz w:val="24"/>
                <w:szCs w:val="24"/>
                <w:lang w:eastAsia="en-US"/>
              </w:rPr>
              <w:t xml:space="preserve"> Informații despre consultările organizate cu autoritățile administrației publice  locale</w:t>
            </w:r>
          </w:p>
          <w:p w14:paraId="1298FAC3" w14:textId="77777777" w:rsidR="003F4E20" w:rsidRPr="00A05D59" w:rsidRDefault="003F4E20"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27AE4342" w14:textId="77777777" w:rsidTr="00D47ECA">
        <w:trPr>
          <w:gridAfter w:val="1"/>
          <w:wAfter w:w="27" w:type="dxa"/>
          <w:jc w:val="center"/>
        </w:trPr>
        <w:tc>
          <w:tcPr>
            <w:tcW w:w="10335" w:type="dxa"/>
            <w:gridSpan w:val="7"/>
          </w:tcPr>
          <w:p w14:paraId="41B6CA5C" w14:textId="77777777" w:rsidR="003F4E20" w:rsidRPr="00A05D59" w:rsidRDefault="003F4E20" w:rsidP="00D81EF2">
            <w:pPr>
              <w:rPr>
                <w:sz w:val="24"/>
                <w:szCs w:val="24"/>
                <w:lang w:eastAsia="en-US"/>
              </w:rPr>
            </w:pPr>
            <w:r w:rsidRPr="00A05D59">
              <w:rPr>
                <w:b/>
                <w:bCs/>
                <w:sz w:val="24"/>
                <w:szCs w:val="24"/>
                <w:lang w:eastAsia="en-US"/>
              </w:rPr>
              <w:t>6.4.</w:t>
            </w:r>
            <w:r w:rsidRPr="00A05D59">
              <w:rPr>
                <w:sz w:val="24"/>
                <w:szCs w:val="24"/>
                <w:lang w:eastAsia="en-US"/>
              </w:rPr>
              <w:t xml:space="preserve"> Informații privind punctele de vedere/opinii emise de organisme consultative constituite prin acte normative</w:t>
            </w:r>
          </w:p>
          <w:p w14:paraId="1C7DF860" w14:textId="77777777" w:rsidR="003F4E20" w:rsidRPr="00A05D59" w:rsidRDefault="003F4E20" w:rsidP="00D81EF2">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A62EA6" w:rsidRPr="00A05D59" w14:paraId="599A5643" w14:textId="77777777" w:rsidTr="00E6159A">
        <w:trPr>
          <w:gridAfter w:val="1"/>
          <w:wAfter w:w="27" w:type="dxa"/>
          <w:jc w:val="center"/>
        </w:trPr>
        <w:tc>
          <w:tcPr>
            <w:tcW w:w="4915" w:type="dxa"/>
          </w:tcPr>
          <w:p w14:paraId="63570049" w14:textId="77777777" w:rsidR="00A62EA6" w:rsidRPr="00A05D59" w:rsidRDefault="00A62EA6" w:rsidP="003D7731">
            <w:pPr>
              <w:jc w:val="both"/>
              <w:rPr>
                <w:sz w:val="24"/>
                <w:szCs w:val="24"/>
                <w:lang w:eastAsia="en-US"/>
              </w:rPr>
            </w:pPr>
            <w:r w:rsidRPr="00A05D59">
              <w:rPr>
                <w:b/>
                <w:bCs/>
                <w:sz w:val="24"/>
                <w:szCs w:val="24"/>
                <w:lang w:eastAsia="en-US"/>
              </w:rPr>
              <w:t>6.5.</w:t>
            </w:r>
            <w:r w:rsidRPr="00A05D59">
              <w:rPr>
                <w:sz w:val="24"/>
                <w:szCs w:val="24"/>
                <w:lang w:eastAsia="en-US"/>
              </w:rPr>
              <w:t xml:space="preserve"> Informații privind avizarea de către:</w:t>
            </w:r>
          </w:p>
          <w:p w14:paraId="1BB2CB09"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Consiliul Legislativ</w:t>
            </w:r>
          </w:p>
          <w:p w14:paraId="3523DBEE"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 xml:space="preserve">Consiliul Suprem de Apărare a Țării </w:t>
            </w:r>
          </w:p>
          <w:p w14:paraId="3BB91420"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 xml:space="preserve">Consiliul Economic și Social </w:t>
            </w:r>
          </w:p>
          <w:p w14:paraId="4645E139" w14:textId="77777777" w:rsidR="00A62EA6" w:rsidRPr="00A05D59" w:rsidRDefault="00A62EA6" w:rsidP="003D7731">
            <w:pPr>
              <w:numPr>
                <w:ilvl w:val="0"/>
                <w:numId w:val="19"/>
              </w:numPr>
              <w:ind w:left="357" w:hanging="357"/>
              <w:contextualSpacing/>
              <w:jc w:val="both"/>
              <w:rPr>
                <w:sz w:val="24"/>
                <w:szCs w:val="24"/>
                <w:lang w:eastAsia="en-US"/>
              </w:rPr>
            </w:pPr>
            <w:r w:rsidRPr="00A05D59">
              <w:rPr>
                <w:rFonts w:eastAsia="Calibri"/>
                <w:sz w:val="24"/>
                <w:szCs w:val="24"/>
                <w:lang w:eastAsia="en-US"/>
              </w:rPr>
              <w:t>Consiliul Concurenței</w:t>
            </w:r>
          </w:p>
          <w:p w14:paraId="01DE1A22" w14:textId="77777777" w:rsidR="00A62EA6" w:rsidRPr="00A05D59" w:rsidRDefault="00A62EA6" w:rsidP="003D7731">
            <w:pPr>
              <w:numPr>
                <w:ilvl w:val="0"/>
                <w:numId w:val="19"/>
              </w:numPr>
              <w:ind w:left="357" w:hanging="357"/>
              <w:contextualSpacing/>
              <w:jc w:val="both"/>
              <w:rPr>
                <w:sz w:val="24"/>
                <w:szCs w:val="24"/>
                <w:lang w:eastAsia="en-US"/>
              </w:rPr>
            </w:pPr>
            <w:r w:rsidRPr="00A05D59">
              <w:rPr>
                <w:rFonts w:eastAsia="Calibri"/>
                <w:sz w:val="24"/>
                <w:szCs w:val="24"/>
                <w:lang w:eastAsia="en-US"/>
              </w:rPr>
              <w:t>Curtea de Conturi</w:t>
            </w:r>
          </w:p>
        </w:tc>
        <w:tc>
          <w:tcPr>
            <w:tcW w:w="5420" w:type="dxa"/>
            <w:gridSpan w:val="6"/>
          </w:tcPr>
          <w:p w14:paraId="409D3656" w14:textId="77777777" w:rsidR="00A62EA6" w:rsidRPr="00A05D59" w:rsidRDefault="00A62EA6" w:rsidP="00D81EF2">
            <w:pPr>
              <w:autoSpaceDE w:val="0"/>
              <w:autoSpaceDN w:val="0"/>
              <w:adjustRightInd w:val="0"/>
              <w:rPr>
                <w:sz w:val="24"/>
                <w:szCs w:val="24"/>
              </w:rPr>
            </w:pPr>
          </w:p>
          <w:p w14:paraId="6A3A4C9F" w14:textId="77777777" w:rsidR="00A62EA6" w:rsidRPr="00A05D59" w:rsidRDefault="00A62EA6" w:rsidP="00D81EF2">
            <w:pPr>
              <w:tabs>
                <w:tab w:val="left" w:pos="945"/>
              </w:tabs>
              <w:spacing w:before="120" w:after="60"/>
              <w:rPr>
                <w:sz w:val="24"/>
                <w:szCs w:val="24"/>
                <w:lang w:eastAsia="en-US"/>
              </w:rPr>
            </w:pPr>
            <w:r w:rsidRPr="00A05D59">
              <w:rPr>
                <w:sz w:val="24"/>
                <w:szCs w:val="24"/>
              </w:rPr>
              <w:t xml:space="preserve">Este necesar avizul Consiliului Legislativ </w:t>
            </w:r>
          </w:p>
        </w:tc>
      </w:tr>
      <w:tr w:rsidR="00A62EA6" w:rsidRPr="00A05D59" w14:paraId="2EFFEDE0" w14:textId="77777777" w:rsidTr="00D47ECA">
        <w:trPr>
          <w:gridAfter w:val="1"/>
          <w:wAfter w:w="27" w:type="dxa"/>
          <w:jc w:val="center"/>
        </w:trPr>
        <w:tc>
          <w:tcPr>
            <w:tcW w:w="10335" w:type="dxa"/>
            <w:gridSpan w:val="7"/>
          </w:tcPr>
          <w:p w14:paraId="10EC34C4" w14:textId="77777777" w:rsidR="00A62EA6" w:rsidRPr="00A05D59" w:rsidRDefault="00A62EA6" w:rsidP="00D81EF2">
            <w:pPr>
              <w:rPr>
                <w:sz w:val="24"/>
                <w:szCs w:val="24"/>
                <w:lang w:eastAsia="en-US"/>
              </w:rPr>
            </w:pPr>
            <w:r w:rsidRPr="00A05D59">
              <w:rPr>
                <w:b/>
                <w:bCs/>
                <w:sz w:val="24"/>
                <w:szCs w:val="24"/>
                <w:lang w:eastAsia="en-US"/>
              </w:rPr>
              <w:t>6.6.</w:t>
            </w:r>
            <w:r w:rsidRPr="00A05D59">
              <w:rPr>
                <w:sz w:val="24"/>
                <w:szCs w:val="24"/>
                <w:lang w:eastAsia="en-US"/>
              </w:rPr>
              <w:t xml:space="preserve"> Alte informații</w:t>
            </w:r>
          </w:p>
          <w:p w14:paraId="50B0F04F" w14:textId="77777777" w:rsidR="00A62EA6" w:rsidRPr="00A05D59" w:rsidRDefault="00A62EA6" w:rsidP="00D81EF2">
            <w:pPr>
              <w:rPr>
                <w:b/>
                <w:sz w:val="24"/>
                <w:szCs w:val="24"/>
                <w:lang w:eastAsia="en-US"/>
              </w:rPr>
            </w:pPr>
            <w:r w:rsidRPr="00A05D59">
              <w:rPr>
                <w:sz w:val="24"/>
                <w:szCs w:val="24"/>
              </w:rPr>
              <w:t>Nu au fost identificate</w:t>
            </w:r>
            <w:r w:rsidR="00C70FA3" w:rsidRPr="00A05D59">
              <w:rPr>
                <w:sz w:val="24"/>
                <w:szCs w:val="24"/>
              </w:rPr>
              <w:t>.</w:t>
            </w:r>
          </w:p>
        </w:tc>
      </w:tr>
      <w:tr w:rsidR="00A62EA6" w:rsidRPr="00A05D59" w14:paraId="54A7E50B" w14:textId="77777777" w:rsidTr="00D47ECA">
        <w:trPr>
          <w:gridAfter w:val="1"/>
          <w:wAfter w:w="27" w:type="dxa"/>
          <w:jc w:val="center"/>
        </w:trPr>
        <w:tc>
          <w:tcPr>
            <w:tcW w:w="10335" w:type="dxa"/>
            <w:gridSpan w:val="7"/>
          </w:tcPr>
          <w:p w14:paraId="2B5588C9" w14:textId="77777777" w:rsidR="00A62EA6" w:rsidRPr="00A05D59" w:rsidRDefault="00A62EA6" w:rsidP="00CA593D">
            <w:pPr>
              <w:jc w:val="center"/>
              <w:rPr>
                <w:b/>
                <w:sz w:val="24"/>
                <w:szCs w:val="24"/>
                <w:lang w:eastAsia="en-US"/>
              </w:rPr>
            </w:pPr>
            <w:r w:rsidRPr="00A05D59">
              <w:rPr>
                <w:b/>
                <w:sz w:val="24"/>
                <w:szCs w:val="24"/>
                <w:lang w:eastAsia="en-US"/>
              </w:rPr>
              <w:t>Secțiunea a 7-a  -</w:t>
            </w:r>
          </w:p>
          <w:p w14:paraId="0B6D5BC4" w14:textId="77777777" w:rsidR="00CA593D" w:rsidRPr="00A05D59" w:rsidRDefault="00A62EA6" w:rsidP="003D7731">
            <w:pPr>
              <w:jc w:val="center"/>
              <w:rPr>
                <w:b/>
                <w:sz w:val="24"/>
                <w:szCs w:val="24"/>
                <w:lang w:eastAsia="en-US"/>
              </w:rPr>
            </w:pPr>
            <w:r w:rsidRPr="00A05D59">
              <w:rPr>
                <w:b/>
                <w:sz w:val="24"/>
                <w:szCs w:val="24"/>
                <w:lang w:eastAsia="en-US"/>
              </w:rPr>
              <w:t>Activități de informare publică privind elaborarea și implementarea actului normativ</w:t>
            </w:r>
          </w:p>
          <w:p w14:paraId="7D663262" w14:textId="77777777" w:rsidR="00DE4486" w:rsidRPr="00A05D59" w:rsidRDefault="00DE4486" w:rsidP="003D7731">
            <w:pPr>
              <w:jc w:val="center"/>
              <w:rPr>
                <w:b/>
                <w:sz w:val="24"/>
                <w:szCs w:val="24"/>
                <w:lang w:eastAsia="en-US"/>
              </w:rPr>
            </w:pPr>
          </w:p>
        </w:tc>
      </w:tr>
      <w:tr w:rsidR="00A62EA6" w:rsidRPr="00A05D59" w14:paraId="2964D4EE" w14:textId="77777777" w:rsidTr="00D47ECA">
        <w:trPr>
          <w:gridAfter w:val="1"/>
          <w:wAfter w:w="27" w:type="dxa"/>
          <w:jc w:val="center"/>
        </w:trPr>
        <w:tc>
          <w:tcPr>
            <w:tcW w:w="10335" w:type="dxa"/>
            <w:gridSpan w:val="7"/>
          </w:tcPr>
          <w:p w14:paraId="480AB22F" w14:textId="77777777" w:rsidR="00A62EA6" w:rsidRPr="00A05D59" w:rsidRDefault="00A62EA6" w:rsidP="003D7731">
            <w:pPr>
              <w:rPr>
                <w:sz w:val="24"/>
                <w:szCs w:val="24"/>
                <w:lang w:eastAsia="en-US"/>
              </w:rPr>
            </w:pPr>
            <w:r w:rsidRPr="00A05D59">
              <w:rPr>
                <w:b/>
                <w:bCs/>
                <w:sz w:val="24"/>
                <w:szCs w:val="24"/>
                <w:lang w:eastAsia="en-US"/>
              </w:rPr>
              <w:t>7.1.</w:t>
            </w:r>
            <w:r w:rsidRPr="00A05D59">
              <w:rPr>
                <w:sz w:val="24"/>
                <w:szCs w:val="24"/>
                <w:lang w:eastAsia="en-US"/>
              </w:rPr>
              <w:t xml:space="preserve"> Informarea societății civile cu privire la necesitatea elaborării actului normativ</w:t>
            </w:r>
          </w:p>
          <w:p w14:paraId="5D629116" w14:textId="77777777" w:rsidR="00A62EA6" w:rsidRPr="00A05D59" w:rsidRDefault="00A62EA6" w:rsidP="003D7731">
            <w:pPr>
              <w:spacing w:before="120"/>
              <w:rPr>
                <w:b/>
                <w:sz w:val="24"/>
                <w:szCs w:val="24"/>
                <w:lang w:eastAsia="en-US"/>
              </w:rPr>
            </w:pPr>
            <w:r w:rsidRPr="00A05D59">
              <w:rPr>
                <w:sz w:val="24"/>
                <w:szCs w:val="24"/>
              </w:rPr>
              <w:t>A fost îndeplinită procedura prevăzută de dispoziţiile Legii nr. 52/2003 privind transparenţa decizională în administraţia publică. Proiectul a fost afişat pe site–ul Autorității Naționale pentru Protecția Consumatorilor și al Ministerului Economiei</w:t>
            </w:r>
            <w:r w:rsidR="00D8704D" w:rsidRPr="00A05D59">
              <w:rPr>
                <w:sz w:val="24"/>
                <w:szCs w:val="24"/>
              </w:rPr>
              <w:t>,</w:t>
            </w:r>
            <w:r w:rsidRPr="00A05D59">
              <w:rPr>
                <w:sz w:val="24"/>
                <w:szCs w:val="24"/>
              </w:rPr>
              <w:t xml:space="preserve"> </w:t>
            </w:r>
            <w:r w:rsidR="006B77F9" w:rsidRPr="00A05D59">
              <w:rPr>
                <w:sz w:val="24"/>
                <w:szCs w:val="24"/>
              </w:rPr>
              <w:t xml:space="preserve">Digitalizării, </w:t>
            </w:r>
            <w:r w:rsidRPr="00A05D59">
              <w:rPr>
                <w:sz w:val="24"/>
                <w:szCs w:val="24"/>
              </w:rPr>
              <w:t>Antreprenoriatului și Turismului.</w:t>
            </w:r>
          </w:p>
        </w:tc>
      </w:tr>
      <w:tr w:rsidR="00A62EA6" w:rsidRPr="00A05D59" w14:paraId="07C38771" w14:textId="77777777" w:rsidTr="00D47ECA">
        <w:trPr>
          <w:gridAfter w:val="1"/>
          <w:wAfter w:w="27" w:type="dxa"/>
          <w:jc w:val="center"/>
        </w:trPr>
        <w:tc>
          <w:tcPr>
            <w:tcW w:w="10335" w:type="dxa"/>
            <w:gridSpan w:val="7"/>
          </w:tcPr>
          <w:p w14:paraId="1C49836F" w14:textId="77777777" w:rsidR="00A62EA6" w:rsidRPr="00A05D59" w:rsidRDefault="00A62EA6" w:rsidP="00D81EF2">
            <w:pPr>
              <w:rPr>
                <w:sz w:val="24"/>
                <w:szCs w:val="24"/>
                <w:lang w:eastAsia="en-US"/>
              </w:rPr>
            </w:pPr>
            <w:r w:rsidRPr="00A05D59">
              <w:rPr>
                <w:b/>
                <w:bCs/>
                <w:sz w:val="24"/>
                <w:szCs w:val="24"/>
                <w:lang w:eastAsia="en-US"/>
              </w:rPr>
              <w:t>7.2.</w:t>
            </w:r>
            <w:r w:rsidRPr="00A05D59">
              <w:rPr>
                <w:sz w:val="24"/>
                <w:szCs w:val="24"/>
                <w:lang w:eastAsia="en-US"/>
              </w:rPr>
              <w:t xml:space="preserve"> Informarea societății civile cu privire la eventualul impact asupra mediului în urma implementării actului normativ, precum și efectele asupra sănătății și securității cetățenilor sau diversității biologice</w:t>
            </w:r>
          </w:p>
          <w:p w14:paraId="4B43EC0D" w14:textId="77777777" w:rsidR="00970FC4" w:rsidRPr="00A05D59" w:rsidRDefault="00A62EA6"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A62EA6" w:rsidRPr="00A05D59" w14:paraId="5CE6B385" w14:textId="77777777" w:rsidTr="00D47ECA">
        <w:trPr>
          <w:gridAfter w:val="1"/>
          <w:wAfter w:w="27" w:type="dxa"/>
          <w:jc w:val="center"/>
        </w:trPr>
        <w:tc>
          <w:tcPr>
            <w:tcW w:w="10335" w:type="dxa"/>
            <w:gridSpan w:val="7"/>
          </w:tcPr>
          <w:p w14:paraId="732FAFEC" w14:textId="77777777" w:rsidR="00A62EA6" w:rsidRPr="00A05D59" w:rsidRDefault="00A62EA6" w:rsidP="00D81EF2">
            <w:pPr>
              <w:rPr>
                <w:sz w:val="24"/>
                <w:szCs w:val="24"/>
                <w:lang w:eastAsia="en-US"/>
              </w:rPr>
            </w:pPr>
            <w:r w:rsidRPr="00A05D59">
              <w:rPr>
                <w:b/>
                <w:bCs/>
                <w:sz w:val="24"/>
                <w:szCs w:val="24"/>
                <w:lang w:eastAsia="en-US"/>
              </w:rPr>
              <w:lastRenderedPageBreak/>
              <w:t>7.3.</w:t>
            </w:r>
            <w:r w:rsidRPr="00A05D59">
              <w:rPr>
                <w:sz w:val="24"/>
                <w:szCs w:val="24"/>
                <w:lang w:eastAsia="en-US"/>
              </w:rPr>
              <w:t xml:space="preserve"> Alte informații</w:t>
            </w:r>
          </w:p>
          <w:p w14:paraId="077CE195" w14:textId="77777777" w:rsidR="00A62EA6" w:rsidRPr="00A05D59" w:rsidRDefault="00A62EA6" w:rsidP="00D81EF2">
            <w:pPr>
              <w:rPr>
                <w:sz w:val="24"/>
                <w:szCs w:val="24"/>
                <w:lang w:eastAsia="en-US"/>
              </w:rPr>
            </w:pPr>
            <w:r w:rsidRPr="00A05D59">
              <w:rPr>
                <w:sz w:val="24"/>
                <w:szCs w:val="24"/>
                <w:lang w:eastAsia="en-US"/>
              </w:rPr>
              <w:t>Nu e cazul</w:t>
            </w:r>
            <w:r w:rsidR="00C70FA3" w:rsidRPr="00A05D59">
              <w:rPr>
                <w:sz w:val="24"/>
                <w:szCs w:val="24"/>
                <w:lang w:eastAsia="en-US"/>
              </w:rPr>
              <w:t>.</w:t>
            </w:r>
            <w:r w:rsidRPr="00A05D59">
              <w:rPr>
                <w:sz w:val="24"/>
                <w:szCs w:val="24"/>
                <w:lang w:eastAsia="en-US"/>
              </w:rPr>
              <w:t xml:space="preserve">     </w:t>
            </w:r>
          </w:p>
        </w:tc>
      </w:tr>
      <w:tr w:rsidR="00A62EA6" w:rsidRPr="00A05D59" w14:paraId="53755E1C" w14:textId="77777777" w:rsidTr="00D47ECA">
        <w:trPr>
          <w:gridAfter w:val="1"/>
          <w:wAfter w:w="27" w:type="dxa"/>
          <w:jc w:val="center"/>
        </w:trPr>
        <w:tc>
          <w:tcPr>
            <w:tcW w:w="10335" w:type="dxa"/>
            <w:gridSpan w:val="7"/>
          </w:tcPr>
          <w:p w14:paraId="1981DD78" w14:textId="77777777" w:rsidR="00A62EA6" w:rsidRPr="00A05D59" w:rsidRDefault="00A62EA6" w:rsidP="00CA593D">
            <w:pPr>
              <w:jc w:val="center"/>
              <w:rPr>
                <w:b/>
                <w:sz w:val="24"/>
                <w:szCs w:val="24"/>
                <w:lang w:eastAsia="en-US"/>
              </w:rPr>
            </w:pPr>
            <w:r w:rsidRPr="00A05D59">
              <w:rPr>
                <w:b/>
                <w:sz w:val="24"/>
                <w:szCs w:val="24"/>
                <w:lang w:eastAsia="en-US"/>
              </w:rPr>
              <w:t>Secțiunea a 8-a</w:t>
            </w:r>
          </w:p>
          <w:p w14:paraId="261A0A81" w14:textId="77777777" w:rsidR="00CA593D" w:rsidRPr="00A05D59" w:rsidRDefault="00A62EA6" w:rsidP="003D7731">
            <w:pPr>
              <w:jc w:val="center"/>
              <w:rPr>
                <w:b/>
                <w:sz w:val="24"/>
                <w:szCs w:val="24"/>
                <w:lang w:eastAsia="en-US"/>
              </w:rPr>
            </w:pPr>
            <w:r w:rsidRPr="00A05D59">
              <w:rPr>
                <w:b/>
                <w:sz w:val="24"/>
                <w:szCs w:val="24"/>
                <w:lang w:eastAsia="en-US"/>
              </w:rPr>
              <w:t>Măsuri privind implementarea, monitorizarea și evaluarea proiectului de act normativ</w:t>
            </w:r>
          </w:p>
          <w:p w14:paraId="5011BC65" w14:textId="77777777" w:rsidR="00DE4486" w:rsidRPr="00A05D59" w:rsidRDefault="00DE4486" w:rsidP="003D7731">
            <w:pPr>
              <w:jc w:val="center"/>
              <w:rPr>
                <w:b/>
                <w:sz w:val="24"/>
                <w:szCs w:val="24"/>
                <w:lang w:eastAsia="en-US"/>
              </w:rPr>
            </w:pPr>
          </w:p>
        </w:tc>
      </w:tr>
      <w:tr w:rsidR="00A62EA6" w:rsidRPr="00A05D59" w14:paraId="761420A6" w14:textId="77777777" w:rsidTr="00D47ECA">
        <w:trPr>
          <w:gridAfter w:val="1"/>
          <w:wAfter w:w="27" w:type="dxa"/>
          <w:jc w:val="center"/>
        </w:trPr>
        <w:tc>
          <w:tcPr>
            <w:tcW w:w="10335" w:type="dxa"/>
            <w:gridSpan w:val="7"/>
          </w:tcPr>
          <w:p w14:paraId="58A835D5" w14:textId="77777777" w:rsidR="00A62EA6" w:rsidRPr="00A05D59" w:rsidRDefault="00A62EA6" w:rsidP="00D81EF2">
            <w:pPr>
              <w:rPr>
                <w:rFonts w:eastAsia="Calibri"/>
                <w:sz w:val="24"/>
                <w:szCs w:val="24"/>
                <w:lang w:eastAsia="en-US"/>
              </w:rPr>
            </w:pPr>
            <w:r w:rsidRPr="00A05D59">
              <w:rPr>
                <w:rFonts w:eastAsia="Calibri"/>
                <w:b/>
                <w:bCs/>
                <w:sz w:val="24"/>
                <w:szCs w:val="24"/>
                <w:lang w:eastAsia="en-US"/>
              </w:rPr>
              <w:t>8.1.</w:t>
            </w:r>
            <w:r w:rsidRPr="00A05D59">
              <w:rPr>
                <w:rFonts w:eastAsia="Calibri"/>
                <w:sz w:val="24"/>
                <w:szCs w:val="24"/>
                <w:lang w:eastAsia="en-US"/>
              </w:rPr>
              <w:t xml:space="preserve"> Măsurile de punere în aplicare a actului normativ</w:t>
            </w:r>
          </w:p>
          <w:p w14:paraId="4826082A" w14:textId="77777777" w:rsidR="00D8704D" w:rsidRPr="00A05D59" w:rsidRDefault="00A62EA6" w:rsidP="002E4B9B">
            <w:pPr>
              <w:rPr>
                <w:b/>
                <w:sz w:val="24"/>
                <w:szCs w:val="24"/>
                <w:lang w:eastAsia="en-US"/>
              </w:rPr>
            </w:pPr>
            <w:r w:rsidRPr="00A05D59">
              <w:rPr>
                <w:snapToGrid w:val="0"/>
                <w:sz w:val="24"/>
                <w:szCs w:val="24"/>
              </w:rPr>
              <w:t>Implementarea măsurilor cuprinse în proiectul de act normativ este asigurată de Autoritatea Naţională pentru Protecţia Consumatorilor.</w:t>
            </w:r>
          </w:p>
        </w:tc>
      </w:tr>
      <w:tr w:rsidR="00A62EA6" w:rsidRPr="00A05D59" w14:paraId="09AF400B" w14:textId="77777777" w:rsidTr="00D47ECA">
        <w:trPr>
          <w:gridAfter w:val="1"/>
          <w:wAfter w:w="27" w:type="dxa"/>
          <w:jc w:val="center"/>
        </w:trPr>
        <w:tc>
          <w:tcPr>
            <w:tcW w:w="10335" w:type="dxa"/>
            <w:gridSpan w:val="7"/>
          </w:tcPr>
          <w:p w14:paraId="7D3587FF" w14:textId="77777777" w:rsidR="00A62EA6" w:rsidRPr="00A05D59" w:rsidRDefault="00A62EA6" w:rsidP="00275F6D">
            <w:pPr>
              <w:rPr>
                <w:rFonts w:eastAsia="Calibri"/>
                <w:sz w:val="24"/>
                <w:szCs w:val="24"/>
                <w:lang w:eastAsia="en-US"/>
              </w:rPr>
            </w:pPr>
            <w:r w:rsidRPr="00A05D59">
              <w:rPr>
                <w:b/>
                <w:bCs/>
                <w:sz w:val="24"/>
                <w:szCs w:val="24"/>
                <w:lang w:eastAsia="en-US"/>
              </w:rPr>
              <w:t>8.2.</w:t>
            </w:r>
            <w:r w:rsidRPr="00A05D59">
              <w:rPr>
                <w:sz w:val="24"/>
                <w:szCs w:val="24"/>
                <w:lang w:eastAsia="en-US"/>
              </w:rPr>
              <w:t xml:space="preserve"> Alte informații</w:t>
            </w:r>
          </w:p>
        </w:tc>
      </w:tr>
    </w:tbl>
    <w:p w14:paraId="2338A9F5" w14:textId="77777777" w:rsidR="00F07709" w:rsidRPr="00A05D59" w:rsidRDefault="00A62EA6" w:rsidP="00275F6D">
      <w:pPr>
        <w:spacing w:before="120" w:after="120"/>
        <w:jc w:val="both"/>
        <w:rPr>
          <w:bCs/>
          <w:noProof/>
          <w:sz w:val="24"/>
          <w:szCs w:val="24"/>
          <w:lang w:val="pt-BR"/>
        </w:rPr>
      </w:pPr>
      <w:bookmarkStart w:id="0" w:name="_Hlk100831499"/>
      <w:r w:rsidRPr="00A05D59">
        <w:rPr>
          <w:snapToGrid w:val="0"/>
          <w:sz w:val="24"/>
          <w:szCs w:val="24"/>
        </w:rPr>
        <w:t xml:space="preserve">Faţă de cele prezentate, a fost elaborat prezentul </w:t>
      </w:r>
      <w:r w:rsidR="00CF5078" w:rsidRPr="00A05D59">
        <w:rPr>
          <w:snapToGrid w:val="0"/>
          <w:sz w:val="24"/>
          <w:szCs w:val="24"/>
        </w:rPr>
        <w:t>p</w:t>
      </w:r>
      <w:r w:rsidRPr="00A05D59">
        <w:rPr>
          <w:snapToGrid w:val="0"/>
          <w:sz w:val="24"/>
          <w:szCs w:val="24"/>
        </w:rPr>
        <w:t>roiect</w:t>
      </w:r>
      <w:r w:rsidR="00CF5078" w:rsidRPr="00A05D59">
        <w:rPr>
          <w:snapToGrid w:val="0"/>
          <w:sz w:val="24"/>
          <w:szCs w:val="24"/>
        </w:rPr>
        <w:t xml:space="preserve"> de </w:t>
      </w:r>
      <w:r w:rsidR="008B5C83" w:rsidRPr="00A05D59">
        <w:rPr>
          <w:b/>
          <w:bCs/>
          <w:i/>
          <w:iCs/>
          <w:sz w:val="24"/>
          <w:szCs w:val="24"/>
        </w:rPr>
        <w:t xml:space="preserve">Lege </w:t>
      </w:r>
      <w:r w:rsidR="00A05D59" w:rsidRPr="00A05D59">
        <w:rPr>
          <w:b/>
          <w:bCs/>
          <w:i/>
          <w:iCs/>
          <w:sz w:val="24"/>
          <w:szCs w:val="24"/>
        </w:rPr>
        <w:t>privind normele comune de promovare a reparării bunurilor și de modificare a unor acte normative în domeniul protecției consumatorilor</w:t>
      </w:r>
      <w:r w:rsidR="008B5C83" w:rsidRPr="00A05D59">
        <w:rPr>
          <w:sz w:val="24"/>
          <w:szCs w:val="24"/>
        </w:rPr>
        <w:t>,</w:t>
      </w:r>
      <w:r w:rsidR="008B5C83" w:rsidRPr="00A05D59">
        <w:rPr>
          <w:b/>
          <w:bCs/>
          <w:sz w:val="24"/>
          <w:szCs w:val="24"/>
        </w:rPr>
        <w:t xml:space="preserve"> </w:t>
      </w:r>
      <w:r w:rsidR="008B5C83" w:rsidRPr="00A05D59">
        <w:rPr>
          <w:snapToGrid w:val="0"/>
          <w:sz w:val="24"/>
          <w:szCs w:val="24"/>
        </w:rPr>
        <w:t>pe care, dacă sunteţi de acord, vă rugăm să îl aprobați.</w:t>
      </w:r>
    </w:p>
    <w:p w14:paraId="4FDCEC2D" w14:textId="77777777" w:rsidR="00E6159A" w:rsidRPr="00A05D59" w:rsidRDefault="00E6159A" w:rsidP="00D81EF2">
      <w:pPr>
        <w:jc w:val="both"/>
        <w:rPr>
          <w:b/>
          <w:bCs/>
          <w:sz w:val="24"/>
          <w:szCs w:val="24"/>
          <w:lang w:val="pt-BR"/>
        </w:rPr>
      </w:pPr>
      <w:r w:rsidRPr="00A05D59">
        <w:rPr>
          <w:b/>
          <w:bCs/>
          <w:sz w:val="24"/>
          <w:szCs w:val="24"/>
        </w:rPr>
        <w:t xml:space="preserve">                                                </w:t>
      </w:r>
    </w:p>
    <w:p w14:paraId="695D61D2" w14:textId="77777777" w:rsidR="00311584" w:rsidRPr="00A05D59" w:rsidRDefault="00E6159A" w:rsidP="00D81EF2">
      <w:pPr>
        <w:jc w:val="center"/>
        <w:rPr>
          <w:b/>
          <w:bCs/>
          <w:sz w:val="24"/>
          <w:szCs w:val="24"/>
          <w:shd w:val="clear" w:color="auto" w:fill="FFFFFF"/>
        </w:rPr>
      </w:pPr>
      <w:r w:rsidRPr="00A05D59">
        <w:rPr>
          <w:sz w:val="24"/>
          <w:szCs w:val="24"/>
        </w:rPr>
        <w:t xml:space="preserve"> </w:t>
      </w:r>
      <w:bookmarkEnd w:id="0"/>
      <w:r w:rsidR="00BF3862" w:rsidRPr="00A05D59">
        <w:rPr>
          <w:sz w:val="24"/>
          <w:szCs w:val="24"/>
        </w:rPr>
        <w:tab/>
      </w:r>
      <w:r w:rsidR="00311584" w:rsidRPr="00A05D59">
        <w:rPr>
          <w:b/>
          <w:bCs/>
          <w:sz w:val="24"/>
          <w:szCs w:val="24"/>
          <w:shd w:val="clear" w:color="auto" w:fill="FFFFFF"/>
        </w:rPr>
        <w:t>MINISTRUL ECONOMIEI, DIGITALIZĂRII, ANTREPRENORIATULUI</w:t>
      </w:r>
    </w:p>
    <w:p w14:paraId="3E7EAF93" w14:textId="77777777" w:rsidR="00311584" w:rsidRPr="00A05D59" w:rsidRDefault="00311584" w:rsidP="00D81EF2">
      <w:pPr>
        <w:jc w:val="center"/>
        <w:rPr>
          <w:rFonts w:eastAsia="Calibri"/>
          <w:b/>
          <w:bCs/>
          <w:sz w:val="24"/>
          <w:szCs w:val="24"/>
        </w:rPr>
      </w:pPr>
      <w:r w:rsidRPr="00A05D59">
        <w:rPr>
          <w:b/>
          <w:bCs/>
          <w:sz w:val="24"/>
          <w:szCs w:val="24"/>
          <w:shd w:val="clear" w:color="auto" w:fill="FFFFFF"/>
        </w:rPr>
        <w:t>ȘI TURISMULUI</w:t>
      </w:r>
      <w:r w:rsidRPr="00A05D59">
        <w:rPr>
          <w:rFonts w:eastAsia="Calibri"/>
          <w:b/>
          <w:bCs/>
          <w:sz w:val="24"/>
          <w:szCs w:val="24"/>
        </w:rPr>
        <w:t>,</w:t>
      </w:r>
    </w:p>
    <w:p w14:paraId="1D225EAA" w14:textId="77777777" w:rsidR="00F14E33" w:rsidRDefault="004B2245" w:rsidP="00D81EF2">
      <w:pPr>
        <w:jc w:val="center"/>
        <w:rPr>
          <w:rFonts w:eastAsia="Calibri"/>
          <w:b/>
          <w:bCs/>
          <w:sz w:val="24"/>
          <w:szCs w:val="24"/>
        </w:rPr>
      </w:pPr>
      <w:r w:rsidRPr="004B2245">
        <w:rPr>
          <w:rFonts w:eastAsia="Calibri"/>
          <w:b/>
          <w:bCs/>
          <w:sz w:val="24"/>
          <w:szCs w:val="24"/>
        </w:rPr>
        <w:t>AMBROZIE IRINEU DARĂU</w:t>
      </w:r>
    </w:p>
    <w:p w14:paraId="4A966571" w14:textId="77777777" w:rsidR="004B2245" w:rsidRDefault="004B2245" w:rsidP="00D81EF2">
      <w:pPr>
        <w:jc w:val="center"/>
        <w:rPr>
          <w:rFonts w:eastAsia="Calibri"/>
          <w:b/>
          <w:bCs/>
          <w:sz w:val="24"/>
          <w:szCs w:val="24"/>
        </w:rPr>
      </w:pPr>
    </w:p>
    <w:p w14:paraId="1AB35981" w14:textId="77777777" w:rsidR="00D43B87" w:rsidRPr="00A05D59" w:rsidRDefault="00D43B87" w:rsidP="00D81EF2">
      <w:pPr>
        <w:jc w:val="center"/>
        <w:rPr>
          <w:rFonts w:eastAsia="Calibri"/>
          <w:b/>
          <w:bCs/>
          <w:sz w:val="24"/>
          <w:szCs w:val="24"/>
        </w:rPr>
      </w:pPr>
    </w:p>
    <w:p w14:paraId="06BE770C" w14:textId="77777777" w:rsidR="00F14E33" w:rsidRDefault="00F14E33" w:rsidP="00D81EF2">
      <w:pPr>
        <w:jc w:val="center"/>
        <w:rPr>
          <w:rFonts w:eastAsia="Calibri"/>
          <w:b/>
          <w:bCs/>
          <w:sz w:val="24"/>
          <w:szCs w:val="24"/>
        </w:rPr>
      </w:pPr>
    </w:p>
    <w:p w14:paraId="6FD16578" w14:textId="77777777" w:rsidR="00531836" w:rsidRPr="00A05D59" w:rsidRDefault="00531836" w:rsidP="00D81EF2">
      <w:pPr>
        <w:jc w:val="center"/>
        <w:rPr>
          <w:rFonts w:eastAsia="Calibri"/>
          <w:b/>
          <w:bCs/>
          <w:sz w:val="24"/>
          <w:szCs w:val="24"/>
        </w:rPr>
      </w:pPr>
    </w:p>
    <w:p w14:paraId="53E9B66A" w14:textId="77777777" w:rsidR="00F14E33" w:rsidRPr="00A05D59" w:rsidRDefault="00F14E33" w:rsidP="00D81EF2">
      <w:pPr>
        <w:jc w:val="center"/>
        <w:rPr>
          <w:rFonts w:eastAsia="Calibri"/>
          <w:b/>
          <w:bCs/>
          <w:sz w:val="24"/>
          <w:szCs w:val="24"/>
        </w:rPr>
      </w:pPr>
      <w:r w:rsidRPr="00A05D59">
        <w:rPr>
          <w:rFonts w:eastAsia="Calibri"/>
          <w:b/>
          <w:bCs/>
          <w:sz w:val="24"/>
          <w:szCs w:val="24"/>
        </w:rPr>
        <w:t xml:space="preserve">AUTORITATEA NAŢIONALĂ PENTRU PROTECŢIA CONSUMATORILOR </w:t>
      </w:r>
    </w:p>
    <w:p w14:paraId="4807DD0B" w14:textId="103F9956" w:rsidR="004B2245" w:rsidRDefault="004B2245" w:rsidP="004B2245">
      <w:pPr>
        <w:jc w:val="center"/>
        <w:rPr>
          <w:rFonts w:eastAsia="Calibri"/>
          <w:b/>
          <w:bCs/>
          <w:color w:val="000000"/>
          <w:sz w:val="24"/>
          <w:szCs w:val="24"/>
        </w:rPr>
      </w:pPr>
      <w:r>
        <w:rPr>
          <w:rFonts w:eastAsia="Calibri"/>
          <w:b/>
          <w:bCs/>
          <w:color w:val="000000"/>
          <w:sz w:val="24"/>
          <w:szCs w:val="24"/>
        </w:rPr>
        <w:t>PREȘEDINTE,</w:t>
      </w:r>
    </w:p>
    <w:p w14:paraId="70B7D558" w14:textId="77777777" w:rsidR="004B2245" w:rsidRDefault="004B2245" w:rsidP="004B2245">
      <w:pPr>
        <w:jc w:val="center"/>
        <w:rPr>
          <w:rFonts w:eastAsia="Calibri"/>
          <w:b/>
          <w:bCs/>
          <w:color w:val="000000"/>
          <w:sz w:val="24"/>
          <w:szCs w:val="24"/>
        </w:rPr>
      </w:pPr>
      <w:r>
        <w:rPr>
          <w:rFonts w:eastAsia="Calibri"/>
          <w:b/>
          <w:bCs/>
          <w:color w:val="000000"/>
          <w:sz w:val="24"/>
          <w:szCs w:val="24"/>
        </w:rPr>
        <w:t>Vp. IONEL-CRISTINEL OBRETIN</w:t>
      </w:r>
    </w:p>
    <w:p w14:paraId="3FA0A0A4" w14:textId="77777777" w:rsidR="00D43B87" w:rsidRDefault="00D43B87" w:rsidP="004B2245">
      <w:pPr>
        <w:jc w:val="center"/>
        <w:rPr>
          <w:rFonts w:eastAsia="Calibri"/>
          <w:b/>
          <w:bCs/>
          <w:color w:val="000000"/>
          <w:sz w:val="24"/>
          <w:szCs w:val="24"/>
        </w:rPr>
      </w:pPr>
    </w:p>
    <w:p w14:paraId="7EE293B8" w14:textId="77777777" w:rsidR="00D43B87" w:rsidRDefault="00D43B87" w:rsidP="004B2245">
      <w:pPr>
        <w:jc w:val="center"/>
        <w:rPr>
          <w:rFonts w:eastAsia="Calibri"/>
          <w:b/>
          <w:bCs/>
          <w:color w:val="000000"/>
          <w:sz w:val="24"/>
          <w:szCs w:val="24"/>
        </w:rPr>
      </w:pPr>
    </w:p>
    <w:p w14:paraId="578095D1" w14:textId="77777777" w:rsidR="004B2245" w:rsidRDefault="004B2245" w:rsidP="004B2245">
      <w:pPr>
        <w:rPr>
          <w:rFonts w:eastAsia="Calibri"/>
          <w:b/>
          <w:bCs/>
          <w:color w:val="000000"/>
          <w:sz w:val="24"/>
          <w:szCs w:val="24"/>
        </w:rPr>
      </w:pPr>
    </w:p>
    <w:p w14:paraId="7B004EB6" w14:textId="77777777" w:rsidR="004B2245" w:rsidRDefault="004B2245" w:rsidP="004B2245">
      <w:pPr>
        <w:jc w:val="center"/>
        <w:rPr>
          <w:rFonts w:eastAsia="Calibri"/>
          <w:b/>
          <w:bCs/>
          <w:color w:val="000000"/>
          <w:sz w:val="24"/>
          <w:szCs w:val="24"/>
          <w:u w:val="single"/>
        </w:rPr>
      </w:pPr>
      <w:r>
        <w:rPr>
          <w:rFonts w:eastAsia="Calibri"/>
          <w:b/>
          <w:bCs/>
          <w:color w:val="000000"/>
          <w:sz w:val="24"/>
          <w:szCs w:val="24"/>
          <w:u w:val="single"/>
        </w:rPr>
        <w:t>AVIZAT FAVORABIL:</w:t>
      </w:r>
    </w:p>
    <w:p w14:paraId="55D88983" w14:textId="77777777" w:rsidR="004B2245" w:rsidRDefault="004B2245" w:rsidP="004B2245">
      <w:pPr>
        <w:jc w:val="center"/>
        <w:rPr>
          <w:rFonts w:eastAsia="Calibri"/>
          <w:b/>
          <w:bCs/>
          <w:color w:val="000000"/>
          <w:sz w:val="24"/>
          <w:szCs w:val="24"/>
        </w:rPr>
      </w:pPr>
      <w:r>
        <w:rPr>
          <w:rFonts w:eastAsia="Calibri"/>
          <w:b/>
          <w:bCs/>
          <w:color w:val="000000"/>
          <w:sz w:val="24"/>
          <w:szCs w:val="24"/>
        </w:rPr>
        <w:t>VICEPRIM-MINISTRU,</w:t>
      </w:r>
    </w:p>
    <w:p w14:paraId="6F2047EB" w14:textId="77777777" w:rsidR="004B2245" w:rsidRDefault="004B2245" w:rsidP="004B2245">
      <w:pPr>
        <w:jc w:val="center"/>
        <w:rPr>
          <w:rFonts w:eastAsia="Calibri"/>
          <w:b/>
          <w:bCs/>
          <w:color w:val="000000"/>
          <w:sz w:val="24"/>
          <w:szCs w:val="24"/>
        </w:rPr>
      </w:pPr>
      <w:r>
        <w:rPr>
          <w:rFonts w:eastAsia="Calibri"/>
          <w:b/>
          <w:bCs/>
          <w:color w:val="000000"/>
          <w:sz w:val="24"/>
          <w:szCs w:val="24"/>
        </w:rPr>
        <w:t>MINISTRUL APĂRĂRII NAȚIONALE</w:t>
      </w:r>
    </w:p>
    <w:p w14:paraId="447400B3" w14:textId="77777777" w:rsidR="00F14E33" w:rsidRDefault="004B2245" w:rsidP="004B2245">
      <w:pPr>
        <w:jc w:val="center"/>
        <w:rPr>
          <w:rFonts w:eastAsia="Calibri"/>
          <w:b/>
          <w:bCs/>
          <w:color w:val="000000"/>
          <w:sz w:val="24"/>
          <w:szCs w:val="24"/>
        </w:rPr>
      </w:pPr>
      <w:r w:rsidRPr="00B63FC4">
        <w:rPr>
          <w:rFonts w:eastAsia="Calibri"/>
          <w:b/>
          <w:bCs/>
          <w:color w:val="000000"/>
          <w:sz w:val="24"/>
          <w:szCs w:val="24"/>
        </w:rPr>
        <w:t>RADU-DINEL MIRUȚĂ</w:t>
      </w:r>
    </w:p>
    <w:p w14:paraId="136EE013" w14:textId="77777777" w:rsidR="00D43B87" w:rsidRDefault="00D43B87" w:rsidP="004B2245">
      <w:pPr>
        <w:jc w:val="center"/>
        <w:rPr>
          <w:rFonts w:eastAsia="Calibri"/>
          <w:b/>
          <w:bCs/>
          <w:color w:val="000000"/>
          <w:sz w:val="24"/>
          <w:szCs w:val="24"/>
        </w:rPr>
      </w:pPr>
    </w:p>
    <w:p w14:paraId="7B19C0DD" w14:textId="77777777" w:rsidR="00D43B87" w:rsidRPr="00A05D59" w:rsidRDefault="00D43B87" w:rsidP="004B2245">
      <w:pPr>
        <w:jc w:val="center"/>
        <w:rPr>
          <w:rFonts w:eastAsia="Calibri"/>
          <w:b/>
          <w:bCs/>
          <w:sz w:val="24"/>
          <w:szCs w:val="24"/>
        </w:rPr>
      </w:pPr>
    </w:p>
    <w:p w14:paraId="314BB675" w14:textId="77777777" w:rsidR="00F14E33" w:rsidRPr="00A05D59" w:rsidRDefault="00F14E33" w:rsidP="00D81EF2">
      <w:pPr>
        <w:jc w:val="center"/>
        <w:rPr>
          <w:rFonts w:eastAsia="Calibri"/>
          <w:b/>
          <w:bCs/>
          <w:sz w:val="24"/>
          <w:szCs w:val="24"/>
          <w:u w:val="single"/>
        </w:rPr>
      </w:pPr>
    </w:p>
    <w:tbl>
      <w:tblPr>
        <w:tblW w:w="0" w:type="auto"/>
        <w:jc w:val="center"/>
        <w:tblLook w:val="04A0" w:firstRow="1" w:lastRow="0" w:firstColumn="1" w:lastColumn="0" w:noHBand="0" w:noVBand="1"/>
      </w:tblPr>
      <w:tblGrid>
        <w:gridCol w:w="4843"/>
        <w:gridCol w:w="4795"/>
      </w:tblGrid>
      <w:tr w:rsidR="00F14E33" w:rsidRPr="00A05D59" w14:paraId="57A3BEF4" w14:textId="77777777">
        <w:trPr>
          <w:trHeight w:val="1583"/>
          <w:jc w:val="center"/>
        </w:trPr>
        <w:tc>
          <w:tcPr>
            <w:tcW w:w="4974" w:type="dxa"/>
          </w:tcPr>
          <w:p w14:paraId="40A381C4" w14:textId="77777777" w:rsidR="00F14E33" w:rsidRPr="00A05D59" w:rsidRDefault="00F14E33" w:rsidP="00D81EF2">
            <w:pPr>
              <w:jc w:val="center"/>
              <w:rPr>
                <w:rFonts w:eastAsia="Calibri"/>
                <w:b/>
                <w:bCs/>
                <w:sz w:val="24"/>
                <w:szCs w:val="24"/>
              </w:rPr>
            </w:pPr>
          </w:p>
          <w:p w14:paraId="5BB61F2F" w14:textId="77777777" w:rsidR="00311584" w:rsidRPr="00A05D59" w:rsidRDefault="00311584" w:rsidP="00D81EF2">
            <w:pPr>
              <w:jc w:val="center"/>
              <w:rPr>
                <w:rFonts w:eastAsia="Calibri"/>
                <w:b/>
                <w:bCs/>
                <w:sz w:val="24"/>
                <w:szCs w:val="24"/>
                <w:lang w:val="pt-PT"/>
              </w:rPr>
            </w:pPr>
          </w:p>
          <w:p w14:paraId="74D725E3" w14:textId="77777777" w:rsidR="00311584" w:rsidRPr="00A05D59" w:rsidRDefault="00311584" w:rsidP="00D81EF2">
            <w:pPr>
              <w:jc w:val="center"/>
              <w:rPr>
                <w:rFonts w:eastAsia="Calibri"/>
                <w:b/>
                <w:bCs/>
                <w:sz w:val="24"/>
                <w:szCs w:val="24"/>
                <w:lang w:val="pt-PT"/>
              </w:rPr>
            </w:pPr>
          </w:p>
          <w:p w14:paraId="7CD5712B" w14:textId="77777777" w:rsidR="00F14E33" w:rsidRPr="00A05D59" w:rsidRDefault="00F14E33" w:rsidP="00D81EF2">
            <w:pPr>
              <w:jc w:val="center"/>
              <w:rPr>
                <w:rFonts w:eastAsia="Calibri"/>
                <w:b/>
                <w:bCs/>
                <w:sz w:val="24"/>
                <w:szCs w:val="24"/>
              </w:rPr>
            </w:pPr>
            <w:r w:rsidRPr="00A05D59">
              <w:rPr>
                <w:rFonts w:eastAsia="Calibri"/>
                <w:b/>
                <w:bCs/>
                <w:sz w:val="24"/>
                <w:szCs w:val="24"/>
              </w:rPr>
              <w:t>MINISTRUL AFACERILOR EXTERNE</w:t>
            </w:r>
          </w:p>
          <w:p w14:paraId="23637AA1" w14:textId="77777777" w:rsidR="00F14E33" w:rsidRPr="00A05D59" w:rsidRDefault="004B2245" w:rsidP="00D81EF2">
            <w:pPr>
              <w:jc w:val="center"/>
              <w:rPr>
                <w:rFonts w:eastAsia="Calibri"/>
                <w:b/>
                <w:bCs/>
                <w:sz w:val="24"/>
                <w:szCs w:val="24"/>
                <w:lang w:val="pt-PT"/>
              </w:rPr>
            </w:pPr>
            <w:r w:rsidRPr="004B2245">
              <w:rPr>
                <w:rFonts w:eastAsia="Calibri"/>
                <w:b/>
                <w:bCs/>
                <w:sz w:val="24"/>
                <w:szCs w:val="24"/>
                <w:lang w:val="pt-PT"/>
              </w:rPr>
              <w:t>OANA-SILVIA ȚOIU</w:t>
            </w:r>
          </w:p>
        </w:tc>
        <w:tc>
          <w:tcPr>
            <w:tcW w:w="4930" w:type="dxa"/>
          </w:tcPr>
          <w:p w14:paraId="3A643DA4"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329D9D89" w14:textId="77777777" w:rsidR="00F14E33" w:rsidRPr="00A05D59" w:rsidRDefault="00F14E33" w:rsidP="00D81EF2">
            <w:pPr>
              <w:jc w:val="center"/>
              <w:rPr>
                <w:rFonts w:eastAsia="Calibri"/>
                <w:b/>
                <w:bCs/>
                <w:sz w:val="24"/>
                <w:szCs w:val="24"/>
                <w:lang w:val="pt-PT"/>
              </w:rPr>
            </w:pPr>
          </w:p>
          <w:p w14:paraId="63B16C41" w14:textId="77777777" w:rsidR="00F14E33" w:rsidRPr="00A05D59" w:rsidRDefault="00F14E33" w:rsidP="00D81EF2">
            <w:pPr>
              <w:jc w:val="center"/>
              <w:rPr>
                <w:rFonts w:eastAsia="Calibri"/>
                <w:b/>
                <w:bCs/>
                <w:sz w:val="24"/>
                <w:szCs w:val="24"/>
                <w:lang w:val="pt-PT"/>
              </w:rPr>
            </w:pPr>
          </w:p>
          <w:p w14:paraId="2892F180" w14:textId="77777777" w:rsidR="00F14E33" w:rsidRPr="00A05D59" w:rsidRDefault="00F14E33" w:rsidP="00D81EF2">
            <w:pPr>
              <w:jc w:val="center"/>
              <w:rPr>
                <w:rFonts w:eastAsia="Calibri"/>
                <w:b/>
                <w:bCs/>
                <w:sz w:val="24"/>
                <w:szCs w:val="24"/>
                <w:lang w:val="pt-PT"/>
              </w:rPr>
            </w:pPr>
          </w:p>
          <w:p w14:paraId="284786F4" w14:textId="77777777" w:rsidR="00F14E33" w:rsidRPr="00A05D59" w:rsidRDefault="00F14E33" w:rsidP="00D81EF2">
            <w:pPr>
              <w:jc w:val="center"/>
              <w:rPr>
                <w:rFonts w:eastAsia="Calibri"/>
                <w:b/>
                <w:bCs/>
                <w:sz w:val="24"/>
                <w:szCs w:val="24"/>
                <w:lang w:val="pt-PT"/>
              </w:rPr>
            </w:pPr>
          </w:p>
          <w:p w14:paraId="5B11151B"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39639E2D"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3DB7F75E" w14:textId="77777777" w:rsidR="007051DE" w:rsidRPr="00A05D59" w:rsidRDefault="007051DE" w:rsidP="00D81EF2">
            <w:pPr>
              <w:jc w:val="center"/>
              <w:rPr>
                <w:rFonts w:eastAsia="Calibri"/>
                <w:b/>
                <w:bCs/>
                <w:sz w:val="24"/>
                <w:szCs w:val="24"/>
                <w:lang w:val="pt-PT"/>
              </w:rPr>
            </w:pPr>
          </w:p>
          <w:p w14:paraId="5599B4E1" w14:textId="77777777" w:rsidR="00275F6D" w:rsidRPr="00A05D59" w:rsidRDefault="00275F6D" w:rsidP="00D81EF2">
            <w:pPr>
              <w:jc w:val="center"/>
              <w:rPr>
                <w:rFonts w:eastAsia="Calibri"/>
                <w:b/>
                <w:bCs/>
                <w:sz w:val="24"/>
                <w:szCs w:val="24"/>
                <w:lang w:val="pt-PT"/>
              </w:rPr>
            </w:pPr>
          </w:p>
          <w:p w14:paraId="04BCEC84" w14:textId="77777777" w:rsidR="00275F6D" w:rsidRPr="00A05D59" w:rsidRDefault="00275F6D" w:rsidP="00D81EF2">
            <w:pPr>
              <w:jc w:val="center"/>
              <w:rPr>
                <w:rFonts w:eastAsia="Calibri"/>
                <w:b/>
                <w:bCs/>
                <w:sz w:val="24"/>
                <w:szCs w:val="24"/>
                <w:lang w:val="pt-PT"/>
              </w:rPr>
            </w:pPr>
          </w:p>
          <w:p w14:paraId="5ECA3016" w14:textId="77777777" w:rsidR="00F14E33" w:rsidRPr="00A05D59" w:rsidRDefault="00D81EF2" w:rsidP="00D81EF2">
            <w:pPr>
              <w:jc w:val="center"/>
              <w:rPr>
                <w:rFonts w:eastAsia="Calibri"/>
                <w:b/>
                <w:bCs/>
                <w:sz w:val="24"/>
                <w:szCs w:val="24"/>
                <w:lang w:val="pt-PT"/>
              </w:rPr>
            </w:pPr>
            <w:r w:rsidRPr="00A05D59">
              <w:rPr>
                <w:rFonts w:eastAsia="Calibri"/>
                <w:b/>
                <w:bCs/>
                <w:sz w:val="24"/>
                <w:szCs w:val="24"/>
                <w:lang w:val="pt-PT"/>
              </w:rPr>
              <w:t xml:space="preserve">   </w:t>
            </w:r>
            <w:r w:rsidR="00F14E33" w:rsidRPr="00A05D59">
              <w:rPr>
                <w:rFonts w:eastAsia="Calibri"/>
                <w:b/>
                <w:bCs/>
                <w:sz w:val="24"/>
                <w:szCs w:val="24"/>
                <w:lang w:val="pt-PT"/>
              </w:rPr>
              <w:t>MINISTRUL JUSTIȚIEI,</w:t>
            </w:r>
          </w:p>
          <w:p w14:paraId="0DA3954F"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r w:rsidR="00311584" w:rsidRPr="00A05D59">
              <w:rPr>
                <w:rFonts w:eastAsia="Calibri"/>
                <w:b/>
                <w:bCs/>
                <w:sz w:val="24"/>
                <w:szCs w:val="24"/>
                <w:lang w:val="pt-PT"/>
              </w:rPr>
              <w:t>RADU MARINESCU</w:t>
            </w:r>
          </w:p>
        </w:tc>
      </w:tr>
    </w:tbl>
    <w:p w14:paraId="3FE18CE1" w14:textId="77777777" w:rsidR="009D0475" w:rsidRPr="00A05D59" w:rsidRDefault="009D0475" w:rsidP="00D81EF2">
      <w:pPr>
        <w:autoSpaceDE w:val="0"/>
        <w:autoSpaceDN w:val="0"/>
        <w:adjustRightInd w:val="0"/>
        <w:jc w:val="both"/>
        <w:rPr>
          <w:sz w:val="24"/>
          <w:szCs w:val="24"/>
        </w:rPr>
      </w:pPr>
    </w:p>
    <w:sectPr w:rsidR="009D0475" w:rsidRPr="00A05D59" w:rsidSect="00802EA8">
      <w:headerReference w:type="even" r:id="rId8"/>
      <w:footerReference w:type="default" r:id="rId9"/>
      <w:pgSz w:w="11906" w:h="16838" w:code="9"/>
      <w:pgMar w:top="567" w:right="1134" w:bottom="1134" w:left="1134" w:header="567" w:footer="567" w:gutter="0"/>
      <w:cols w:space="708"/>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3AA2" w14:textId="77777777" w:rsidR="00014C53" w:rsidRDefault="00014C53" w:rsidP="00A318A2">
      <w:r>
        <w:separator/>
      </w:r>
    </w:p>
  </w:endnote>
  <w:endnote w:type="continuationSeparator" w:id="0">
    <w:p w14:paraId="410382F3" w14:textId="77777777" w:rsidR="00014C53" w:rsidRDefault="00014C53" w:rsidP="00A3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CE2B" w14:textId="77777777" w:rsidR="00105B16" w:rsidRDefault="00105B16">
    <w:pPr>
      <w:pStyle w:val="Footer"/>
      <w:jc w:val="center"/>
    </w:pPr>
  </w:p>
  <w:p w14:paraId="24BC0464" w14:textId="77777777" w:rsidR="00027A80" w:rsidRDefault="0002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32C3" w14:textId="77777777" w:rsidR="00014C53" w:rsidRDefault="00014C53" w:rsidP="00A318A2">
      <w:r>
        <w:separator/>
      </w:r>
    </w:p>
  </w:footnote>
  <w:footnote w:type="continuationSeparator" w:id="0">
    <w:p w14:paraId="7967C592" w14:textId="77777777" w:rsidR="00014C53" w:rsidRDefault="00014C53" w:rsidP="00A3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13D" w14:textId="77777777" w:rsidR="00027A80" w:rsidRDefault="00027A80" w:rsidP="006C1F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9C5">
      <w:rPr>
        <w:rStyle w:val="PageNumber"/>
        <w:noProof/>
      </w:rPr>
      <w:t>7</w:t>
    </w:r>
    <w:r>
      <w:rPr>
        <w:rStyle w:val="PageNumber"/>
      </w:rPr>
      <w:fldChar w:fldCharType="end"/>
    </w:r>
  </w:p>
  <w:p w14:paraId="22E03FD6" w14:textId="77777777" w:rsidR="00027A80" w:rsidRDefault="00027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ADC"/>
    <w:multiLevelType w:val="hybridMultilevel"/>
    <w:tmpl w:val="E0DAA152"/>
    <w:lvl w:ilvl="0" w:tplc="04180017">
      <w:start w:val="1"/>
      <w:numFmt w:val="lowerLetter"/>
      <w:lvlText w:val="%1)"/>
      <w:lvlJc w:val="left"/>
      <w:pPr>
        <w:ind w:left="928" w:hanging="360"/>
      </w:p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0260399B"/>
    <w:multiLevelType w:val="hybridMultilevel"/>
    <w:tmpl w:val="3BCC88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323365"/>
    <w:multiLevelType w:val="hybridMultilevel"/>
    <w:tmpl w:val="2E20E258"/>
    <w:lvl w:ilvl="0" w:tplc="B6765BE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686D58"/>
    <w:multiLevelType w:val="hybridMultilevel"/>
    <w:tmpl w:val="51FA4B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183DB7"/>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0B7A73EA"/>
    <w:multiLevelType w:val="hybridMultilevel"/>
    <w:tmpl w:val="73F621B6"/>
    <w:lvl w:ilvl="0" w:tplc="66CAD54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EFA52AF"/>
    <w:multiLevelType w:val="hybridMultilevel"/>
    <w:tmpl w:val="BB5C277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06532B1"/>
    <w:multiLevelType w:val="hybridMultilevel"/>
    <w:tmpl w:val="119E247E"/>
    <w:lvl w:ilvl="0" w:tplc="8D58DA16">
      <w:start w:val="1"/>
      <w:numFmt w:val="lowerLetter"/>
      <w:lvlText w:val="%1)"/>
      <w:lvlJc w:val="left"/>
      <w:pPr>
        <w:ind w:left="710" w:hanging="360"/>
      </w:pPr>
      <w:rPr>
        <w:rFonts w:ascii="Courier New" w:hAnsi="Courier New" w:cs="Courier New" w:hint="default"/>
        <w:color w:val="000000"/>
      </w:r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8" w15:restartNumberingAfterBreak="0">
    <w:nsid w:val="11FC2FAB"/>
    <w:multiLevelType w:val="hybridMultilevel"/>
    <w:tmpl w:val="E61A3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5043B0"/>
    <w:multiLevelType w:val="hybridMultilevel"/>
    <w:tmpl w:val="F850CDF0"/>
    <w:lvl w:ilvl="0" w:tplc="3B84BEFE">
      <w:start w:val="1"/>
      <w:numFmt w:val="decimal"/>
      <w:lvlText w:val="%1."/>
      <w:lvlJc w:val="left"/>
      <w:pPr>
        <w:tabs>
          <w:tab w:val="num" w:pos="360"/>
        </w:tabs>
        <w:ind w:left="360" w:hanging="360"/>
      </w:pPr>
      <w:rPr>
        <w:rFonts w:hint="default"/>
      </w:rPr>
    </w:lvl>
    <w:lvl w:ilvl="1" w:tplc="0F92D1D2">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B027DE"/>
    <w:multiLevelType w:val="hybridMultilevel"/>
    <w:tmpl w:val="72187D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4F0307"/>
    <w:multiLevelType w:val="hybridMultilevel"/>
    <w:tmpl w:val="FD508B0E"/>
    <w:lvl w:ilvl="0" w:tplc="04180017">
      <w:start w:val="1"/>
      <w:numFmt w:val="lowerLetter"/>
      <w:lvlText w:val="%1)"/>
      <w:lvlJc w:val="left"/>
      <w:pPr>
        <w:ind w:left="360" w:hanging="360"/>
      </w:pPr>
    </w:lvl>
    <w:lvl w:ilvl="1" w:tplc="04180017">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90F3551"/>
    <w:multiLevelType w:val="hybridMultilevel"/>
    <w:tmpl w:val="D9124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D07522"/>
    <w:multiLevelType w:val="hybridMultilevel"/>
    <w:tmpl w:val="C188F70C"/>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116713"/>
    <w:multiLevelType w:val="hybridMultilevel"/>
    <w:tmpl w:val="3EB2C0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5740D3"/>
    <w:multiLevelType w:val="hybridMultilevel"/>
    <w:tmpl w:val="188297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AF5E4A"/>
    <w:multiLevelType w:val="multilevel"/>
    <w:tmpl w:val="2242BC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1A3AF4"/>
    <w:multiLevelType w:val="hybridMultilevel"/>
    <w:tmpl w:val="A6FA4C9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0594CEE"/>
    <w:multiLevelType w:val="hybridMultilevel"/>
    <w:tmpl w:val="12A6E772"/>
    <w:lvl w:ilvl="0" w:tplc="04180017">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B66F6E"/>
    <w:multiLevelType w:val="hybridMultilevel"/>
    <w:tmpl w:val="39689754"/>
    <w:lvl w:ilvl="0" w:tplc="04180017">
      <w:start w:val="1"/>
      <w:numFmt w:val="lowerLetter"/>
      <w:lvlText w:val="%1)"/>
      <w:lvlJc w:val="left"/>
      <w:pPr>
        <w:ind w:left="710" w:hanging="360"/>
      </w:p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20" w15:restartNumberingAfterBreak="0">
    <w:nsid w:val="79092FC8"/>
    <w:multiLevelType w:val="hybridMultilevel"/>
    <w:tmpl w:val="747EA3E2"/>
    <w:lvl w:ilvl="0" w:tplc="FF1C7DA8">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14721563">
    <w:abstractNumId w:val="4"/>
  </w:num>
  <w:num w:numId="2" w16cid:durableId="317458818">
    <w:abstractNumId w:val="9"/>
  </w:num>
  <w:num w:numId="3" w16cid:durableId="2039432069">
    <w:abstractNumId w:val="12"/>
  </w:num>
  <w:num w:numId="4" w16cid:durableId="237908746">
    <w:abstractNumId w:val="2"/>
  </w:num>
  <w:num w:numId="5" w16cid:durableId="1255286601">
    <w:abstractNumId w:val="7"/>
  </w:num>
  <w:num w:numId="6" w16cid:durableId="1500537513">
    <w:abstractNumId w:val="18"/>
  </w:num>
  <w:num w:numId="7" w16cid:durableId="941297811">
    <w:abstractNumId w:val="15"/>
  </w:num>
  <w:num w:numId="8" w16cid:durableId="60372427">
    <w:abstractNumId w:val="13"/>
  </w:num>
  <w:num w:numId="9" w16cid:durableId="1508518733">
    <w:abstractNumId w:val="5"/>
  </w:num>
  <w:num w:numId="10" w16cid:durableId="1492601805">
    <w:abstractNumId w:val="14"/>
  </w:num>
  <w:num w:numId="11" w16cid:durableId="900596059">
    <w:abstractNumId w:val="3"/>
  </w:num>
  <w:num w:numId="12" w16cid:durableId="674259326">
    <w:abstractNumId w:val="19"/>
  </w:num>
  <w:num w:numId="13" w16cid:durableId="2028948230">
    <w:abstractNumId w:val="6"/>
  </w:num>
  <w:num w:numId="14" w16cid:durableId="2071228684">
    <w:abstractNumId w:val="1"/>
  </w:num>
  <w:num w:numId="15" w16cid:durableId="899485838">
    <w:abstractNumId w:val="10"/>
  </w:num>
  <w:num w:numId="16" w16cid:durableId="1334525549">
    <w:abstractNumId w:val="8"/>
  </w:num>
  <w:num w:numId="17" w16cid:durableId="240917439">
    <w:abstractNumId w:val="0"/>
  </w:num>
  <w:num w:numId="18" w16cid:durableId="608318645">
    <w:abstractNumId w:val="17"/>
  </w:num>
  <w:num w:numId="19" w16cid:durableId="863448331">
    <w:abstractNumId w:val="11"/>
  </w:num>
  <w:num w:numId="20" w16cid:durableId="1260530975">
    <w:abstractNumId w:val="20"/>
  </w:num>
  <w:num w:numId="21" w16cid:durableId="900138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2"/>
    <w:rsid w:val="00014C53"/>
    <w:rsid w:val="00024354"/>
    <w:rsid w:val="00027A80"/>
    <w:rsid w:val="0003363D"/>
    <w:rsid w:val="00043C40"/>
    <w:rsid w:val="000504BF"/>
    <w:rsid w:val="00050FBE"/>
    <w:rsid w:val="000523E3"/>
    <w:rsid w:val="00070573"/>
    <w:rsid w:val="00081B20"/>
    <w:rsid w:val="0008625B"/>
    <w:rsid w:val="00093E40"/>
    <w:rsid w:val="00097424"/>
    <w:rsid w:val="00097FD8"/>
    <w:rsid w:val="000A4FA4"/>
    <w:rsid w:val="000A7CAD"/>
    <w:rsid w:val="000B036A"/>
    <w:rsid w:val="000B577D"/>
    <w:rsid w:val="000C0952"/>
    <w:rsid w:val="000D47D4"/>
    <w:rsid w:val="000D4BCA"/>
    <w:rsid w:val="000D5F6B"/>
    <w:rsid w:val="000E3791"/>
    <w:rsid w:val="000E5EBA"/>
    <w:rsid w:val="000E6C94"/>
    <w:rsid w:val="000F35E8"/>
    <w:rsid w:val="001014FD"/>
    <w:rsid w:val="00104E44"/>
    <w:rsid w:val="00105B16"/>
    <w:rsid w:val="001234E9"/>
    <w:rsid w:val="00123FA4"/>
    <w:rsid w:val="00126F12"/>
    <w:rsid w:val="00127EB6"/>
    <w:rsid w:val="00133195"/>
    <w:rsid w:val="00135046"/>
    <w:rsid w:val="0014197F"/>
    <w:rsid w:val="00150570"/>
    <w:rsid w:val="001539EB"/>
    <w:rsid w:val="0016093B"/>
    <w:rsid w:val="00162720"/>
    <w:rsid w:val="00173DD8"/>
    <w:rsid w:val="00174A92"/>
    <w:rsid w:val="00176004"/>
    <w:rsid w:val="0018021B"/>
    <w:rsid w:val="0019444D"/>
    <w:rsid w:val="00195BE5"/>
    <w:rsid w:val="001A1DF5"/>
    <w:rsid w:val="001A247A"/>
    <w:rsid w:val="001B6D48"/>
    <w:rsid w:val="001C6B8C"/>
    <w:rsid w:val="001D3E72"/>
    <w:rsid w:val="001F0E0E"/>
    <w:rsid w:val="001F1E7E"/>
    <w:rsid w:val="00200184"/>
    <w:rsid w:val="00205D41"/>
    <w:rsid w:val="0020712A"/>
    <w:rsid w:val="00213659"/>
    <w:rsid w:val="002221E6"/>
    <w:rsid w:val="002309B1"/>
    <w:rsid w:val="0023126E"/>
    <w:rsid w:val="0023491D"/>
    <w:rsid w:val="00242BD1"/>
    <w:rsid w:val="00243303"/>
    <w:rsid w:val="00243B47"/>
    <w:rsid w:val="002454D1"/>
    <w:rsid w:val="00251B26"/>
    <w:rsid w:val="00256006"/>
    <w:rsid w:val="002604B4"/>
    <w:rsid w:val="0026482A"/>
    <w:rsid w:val="0027317A"/>
    <w:rsid w:val="002732E0"/>
    <w:rsid w:val="00275F6D"/>
    <w:rsid w:val="00277CA1"/>
    <w:rsid w:val="00282D91"/>
    <w:rsid w:val="00291294"/>
    <w:rsid w:val="002A5B73"/>
    <w:rsid w:val="002B02E6"/>
    <w:rsid w:val="002B329F"/>
    <w:rsid w:val="002B3D02"/>
    <w:rsid w:val="002B3E90"/>
    <w:rsid w:val="002B64C3"/>
    <w:rsid w:val="002C1164"/>
    <w:rsid w:val="002C1DCD"/>
    <w:rsid w:val="002C201B"/>
    <w:rsid w:val="002C3EB3"/>
    <w:rsid w:val="002D02C6"/>
    <w:rsid w:val="002D5F3F"/>
    <w:rsid w:val="002D62BC"/>
    <w:rsid w:val="002E4B9B"/>
    <w:rsid w:val="003008CE"/>
    <w:rsid w:val="003021F5"/>
    <w:rsid w:val="00311584"/>
    <w:rsid w:val="00311FA9"/>
    <w:rsid w:val="00313EDF"/>
    <w:rsid w:val="00317665"/>
    <w:rsid w:val="00332132"/>
    <w:rsid w:val="003348F6"/>
    <w:rsid w:val="00336D2F"/>
    <w:rsid w:val="00343C4A"/>
    <w:rsid w:val="0034710D"/>
    <w:rsid w:val="00347A79"/>
    <w:rsid w:val="00362C4F"/>
    <w:rsid w:val="0036477A"/>
    <w:rsid w:val="00367236"/>
    <w:rsid w:val="00367340"/>
    <w:rsid w:val="0037098D"/>
    <w:rsid w:val="0037390A"/>
    <w:rsid w:val="00392B0F"/>
    <w:rsid w:val="00392CE8"/>
    <w:rsid w:val="0039418D"/>
    <w:rsid w:val="003A3DD0"/>
    <w:rsid w:val="003B1CB3"/>
    <w:rsid w:val="003C4907"/>
    <w:rsid w:val="003D3B5E"/>
    <w:rsid w:val="003D5275"/>
    <w:rsid w:val="003D7731"/>
    <w:rsid w:val="003E0914"/>
    <w:rsid w:val="003E713B"/>
    <w:rsid w:val="003F27DD"/>
    <w:rsid w:val="003F4E20"/>
    <w:rsid w:val="00403B5F"/>
    <w:rsid w:val="00405334"/>
    <w:rsid w:val="004110BE"/>
    <w:rsid w:val="004300CC"/>
    <w:rsid w:val="0043372C"/>
    <w:rsid w:val="004437A1"/>
    <w:rsid w:val="0046308D"/>
    <w:rsid w:val="004638A8"/>
    <w:rsid w:val="0046502E"/>
    <w:rsid w:val="00467E96"/>
    <w:rsid w:val="0048581A"/>
    <w:rsid w:val="004860AE"/>
    <w:rsid w:val="00487068"/>
    <w:rsid w:val="00490AF3"/>
    <w:rsid w:val="00495ED1"/>
    <w:rsid w:val="004A788A"/>
    <w:rsid w:val="004B0F62"/>
    <w:rsid w:val="004B2245"/>
    <w:rsid w:val="004C0D5B"/>
    <w:rsid w:val="004C6286"/>
    <w:rsid w:val="004E7B50"/>
    <w:rsid w:val="004E7B6C"/>
    <w:rsid w:val="0050187E"/>
    <w:rsid w:val="005065E8"/>
    <w:rsid w:val="005171F0"/>
    <w:rsid w:val="00527578"/>
    <w:rsid w:val="00531836"/>
    <w:rsid w:val="00532484"/>
    <w:rsid w:val="00535D99"/>
    <w:rsid w:val="005418EC"/>
    <w:rsid w:val="00543D0F"/>
    <w:rsid w:val="00545FDF"/>
    <w:rsid w:val="00546160"/>
    <w:rsid w:val="00551B98"/>
    <w:rsid w:val="00554D03"/>
    <w:rsid w:val="00557D62"/>
    <w:rsid w:val="005615E0"/>
    <w:rsid w:val="00566E96"/>
    <w:rsid w:val="00575263"/>
    <w:rsid w:val="00580BEC"/>
    <w:rsid w:val="00583954"/>
    <w:rsid w:val="00584443"/>
    <w:rsid w:val="005959EE"/>
    <w:rsid w:val="0059702F"/>
    <w:rsid w:val="005C560C"/>
    <w:rsid w:val="005C7AD3"/>
    <w:rsid w:val="005D1BD5"/>
    <w:rsid w:val="005D3143"/>
    <w:rsid w:val="005D5173"/>
    <w:rsid w:val="00601D53"/>
    <w:rsid w:val="0060321E"/>
    <w:rsid w:val="00606317"/>
    <w:rsid w:val="0061119D"/>
    <w:rsid w:val="006134CF"/>
    <w:rsid w:val="0062674B"/>
    <w:rsid w:val="0064562C"/>
    <w:rsid w:val="006546C6"/>
    <w:rsid w:val="00664439"/>
    <w:rsid w:val="006711DC"/>
    <w:rsid w:val="00672B46"/>
    <w:rsid w:val="006836F2"/>
    <w:rsid w:val="00685003"/>
    <w:rsid w:val="00686785"/>
    <w:rsid w:val="00687D77"/>
    <w:rsid w:val="00691125"/>
    <w:rsid w:val="0069246C"/>
    <w:rsid w:val="00693A51"/>
    <w:rsid w:val="006A0930"/>
    <w:rsid w:val="006A19AE"/>
    <w:rsid w:val="006A2003"/>
    <w:rsid w:val="006B17CC"/>
    <w:rsid w:val="006B2E60"/>
    <w:rsid w:val="006B3D3B"/>
    <w:rsid w:val="006B77F9"/>
    <w:rsid w:val="006C1F75"/>
    <w:rsid w:val="006C4C4C"/>
    <w:rsid w:val="006D165E"/>
    <w:rsid w:val="006D28BB"/>
    <w:rsid w:val="006D78FD"/>
    <w:rsid w:val="006E0335"/>
    <w:rsid w:val="00704EDD"/>
    <w:rsid w:val="007051DE"/>
    <w:rsid w:val="00725F49"/>
    <w:rsid w:val="00727109"/>
    <w:rsid w:val="007327A2"/>
    <w:rsid w:val="007342D2"/>
    <w:rsid w:val="00736299"/>
    <w:rsid w:val="00736383"/>
    <w:rsid w:val="0074174B"/>
    <w:rsid w:val="00744548"/>
    <w:rsid w:val="00755D7F"/>
    <w:rsid w:val="007600CC"/>
    <w:rsid w:val="007603F9"/>
    <w:rsid w:val="00775035"/>
    <w:rsid w:val="007845D1"/>
    <w:rsid w:val="007862B0"/>
    <w:rsid w:val="007A579A"/>
    <w:rsid w:val="007A6925"/>
    <w:rsid w:val="007A75F1"/>
    <w:rsid w:val="007B15F9"/>
    <w:rsid w:val="007B17C0"/>
    <w:rsid w:val="007C617D"/>
    <w:rsid w:val="007E5E9F"/>
    <w:rsid w:val="007F13FB"/>
    <w:rsid w:val="007F2809"/>
    <w:rsid w:val="0080156D"/>
    <w:rsid w:val="00802CC1"/>
    <w:rsid w:val="00802EA8"/>
    <w:rsid w:val="00804B8B"/>
    <w:rsid w:val="0080770F"/>
    <w:rsid w:val="00814810"/>
    <w:rsid w:val="00821924"/>
    <w:rsid w:val="00821C3E"/>
    <w:rsid w:val="008249D5"/>
    <w:rsid w:val="008278C8"/>
    <w:rsid w:val="00844F28"/>
    <w:rsid w:val="00846C2A"/>
    <w:rsid w:val="0086182A"/>
    <w:rsid w:val="00893255"/>
    <w:rsid w:val="008B2AF3"/>
    <w:rsid w:val="008B5C83"/>
    <w:rsid w:val="008C3EDA"/>
    <w:rsid w:val="008F5107"/>
    <w:rsid w:val="008F7025"/>
    <w:rsid w:val="008F7590"/>
    <w:rsid w:val="0090349B"/>
    <w:rsid w:val="00907DDD"/>
    <w:rsid w:val="00913987"/>
    <w:rsid w:val="0092039D"/>
    <w:rsid w:val="00927796"/>
    <w:rsid w:val="009340A1"/>
    <w:rsid w:val="00935837"/>
    <w:rsid w:val="0093719B"/>
    <w:rsid w:val="00937948"/>
    <w:rsid w:val="00942A41"/>
    <w:rsid w:val="00945A42"/>
    <w:rsid w:val="00946CA7"/>
    <w:rsid w:val="00955A0E"/>
    <w:rsid w:val="00957DF6"/>
    <w:rsid w:val="00964E23"/>
    <w:rsid w:val="009709C5"/>
    <w:rsid w:val="00970FC4"/>
    <w:rsid w:val="00976137"/>
    <w:rsid w:val="00984142"/>
    <w:rsid w:val="0098751C"/>
    <w:rsid w:val="00993305"/>
    <w:rsid w:val="009A779A"/>
    <w:rsid w:val="009B1C31"/>
    <w:rsid w:val="009B290D"/>
    <w:rsid w:val="009C0BBD"/>
    <w:rsid w:val="009C3994"/>
    <w:rsid w:val="009C4396"/>
    <w:rsid w:val="009C7311"/>
    <w:rsid w:val="009D0475"/>
    <w:rsid w:val="009D3367"/>
    <w:rsid w:val="009D3A46"/>
    <w:rsid w:val="009D7AD9"/>
    <w:rsid w:val="009E4F2E"/>
    <w:rsid w:val="009F1D65"/>
    <w:rsid w:val="009F4EDD"/>
    <w:rsid w:val="009F729E"/>
    <w:rsid w:val="009F78B0"/>
    <w:rsid w:val="00A02CD9"/>
    <w:rsid w:val="00A05D59"/>
    <w:rsid w:val="00A25576"/>
    <w:rsid w:val="00A2693E"/>
    <w:rsid w:val="00A318A2"/>
    <w:rsid w:val="00A33C13"/>
    <w:rsid w:val="00A34423"/>
    <w:rsid w:val="00A410A5"/>
    <w:rsid w:val="00A425BC"/>
    <w:rsid w:val="00A521A5"/>
    <w:rsid w:val="00A62022"/>
    <w:rsid w:val="00A62EA6"/>
    <w:rsid w:val="00A71079"/>
    <w:rsid w:val="00A71E62"/>
    <w:rsid w:val="00A800B2"/>
    <w:rsid w:val="00A80D47"/>
    <w:rsid w:val="00A824AB"/>
    <w:rsid w:val="00A83809"/>
    <w:rsid w:val="00A972A0"/>
    <w:rsid w:val="00A97685"/>
    <w:rsid w:val="00AA1D87"/>
    <w:rsid w:val="00AA6191"/>
    <w:rsid w:val="00AB01F0"/>
    <w:rsid w:val="00AB3242"/>
    <w:rsid w:val="00AC6986"/>
    <w:rsid w:val="00AC7E88"/>
    <w:rsid w:val="00AF0F4E"/>
    <w:rsid w:val="00AF7D8A"/>
    <w:rsid w:val="00B004EE"/>
    <w:rsid w:val="00B21A07"/>
    <w:rsid w:val="00B3522E"/>
    <w:rsid w:val="00B363E8"/>
    <w:rsid w:val="00B4465C"/>
    <w:rsid w:val="00B45AFD"/>
    <w:rsid w:val="00B4721A"/>
    <w:rsid w:val="00B5030B"/>
    <w:rsid w:val="00B62BF9"/>
    <w:rsid w:val="00B63514"/>
    <w:rsid w:val="00B63A38"/>
    <w:rsid w:val="00B6797F"/>
    <w:rsid w:val="00B67B4D"/>
    <w:rsid w:val="00B70B27"/>
    <w:rsid w:val="00B7159A"/>
    <w:rsid w:val="00B71A8F"/>
    <w:rsid w:val="00B74D7D"/>
    <w:rsid w:val="00B8342B"/>
    <w:rsid w:val="00B8387B"/>
    <w:rsid w:val="00B9522F"/>
    <w:rsid w:val="00B974C8"/>
    <w:rsid w:val="00BA04BD"/>
    <w:rsid w:val="00BB2C40"/>
    <w:rsid w:val="00BB3D2E"/>
    <w:rsid w:val="00BB4F79"/>
    <w:rsid w:val="00BC0F00"/>
    <w:rsid w:val="00BC4205"/>
    <w:rsid w:val="00BE27D5"/>
    <w:rsid w:val="00BF0193"/>
    <w:rsid w:val="00BF3862"/>
    <w:rsid w:val="00BF7714"/>
    <w:rsid w:val="00C02ABF"/>
    <w:rsid w:val="00C02D0A"/>
    <w:rsid w:val="00C04185"/>
    <w:rsid w:val="00C1100C"/>
    <w:rsid w:val="00C152F5"/>
    <w:rsid w:val="00C16624"/>
    <w:rsid w:val="00C234C9"/>
    <w:rsid w:val="00C33A02"/>
    <w:rsid w:val="00C373BF"/>
    <w:rsid w:val="00C47E26"/>
    <w:rsid w:val="00C5222E"/>
    <w:rsid w:val="00C62265"/>
    <w:rsid w:val="00C70FA3"/>
    <w:rsid w:val="00C860D5"/>
    <w:rsid w:val="00C86BDB"/>
    <w:rsid w:val="00C87307"/>
    <w:rsid w:val="00C87826"/>
    <w:rsid w:val="00C9422A"/>
    <w:rsid w:val="00CA593D"/>
    <w:rsid w:val="00CB149A"/>
    <w:rsid w:val="00CC13EB"/>
    <w:rsid w:val="00CD0F83"/>
    <w:rsid w:val="00CD114E"/>
    <w:rsid w:val="00CD45BC"/>
    <w:rsid w:val="00CE6FDA"/>
    <w:rsid w:val="00CF0214"/>
    <w:rsid w:val="00CF2B40"/>
    <w:rsid w:val="00CF5078"/>
    <w:rsid w:val="00CF7617"/>
    <w:rsid w:val="00CF7A1F"/>
    <w:rsid w:val="00CF7FCC"/>
    <w:rsid w:val="00D15300"/>
    <w:rsid w:val="00D1640D"/>
    <w:rsid w:val="00D23291"/>
    <w:rsid w:val="00D26B47"/>
    <w:rsid w:val="00D34F80"/>
    <w:rsid w:val="00D43B87"/>
    <w:rsid w:val="00D47ECA"/>
    <w:rsid w:val="00D67D91"/>
    <w:rsid w:val="00D7742B"/>
    <w:rsid w:val="00D81EF2"/>
    <w:rsid w:val="00D82DAA"/>
    <w:rsid w:val="00D8696A"/>
    <w:rsid w:val="00D8704D"/>
    <w:rsid w:val="00D90CE1"/>
    <w:rsid w:val="00D94528"/>
    <w:rsid w:val="00DA4205"/>
    <w:rsid w:val="00DA4891"/>
    <w:rsid w:val="00DA6CB2"/>
    <w:rsid w:val="00DB227F"/>
    <w:rsid w:val="00DB35D4"/>
    <w:rsid w:val="00DD10A8"/>
    <w:rsid w:val="00DD2711"/>
    <w:rsid w:val="00DE4486"/>
    <w:rsid w:val="00DE4F38"/>
    <w:rsid w:val="00DF609D"/>
    <w:rsid w:val="00E03E48"/>
    <w:rsid w:val="00E05737"/>
    <w:rsid w:val="00E17B65"/>
    <w:rsid w:val="00E26F01"/>
    <w:rsid w:val="00E340F5"/>
    <w:rsid w:val="00E378A0"/>
    <w:rsid w:val="00E416D8"/>
    <w:rsid w:val="00E52F35"/>
    <w:rsid w:val="00E5575B"/>
    <w:rsid w:val="00E6159A"/>
    <w:rsid w:val="00E6173F"/>
    <w:rsid w:val="00E62B2D"/>
    <w:rsid w:val="00E65EBE"/>
    <w:rsid w:val="00E74FDE"/>
    <w:rsid w:val="00E75CFF"/>
    <w:rsid w:val="00E90AAF"/>
    <w:rsid w:val="00EA3EBA"/>
    <w:rsid w:val="00EA61C9"/>
    <w:rsid w:val="00EA666E"/>
    <w:rsid w:val="00EB0403"/>
    <w:rsid w:val="00EB11B3"/>
    <w:rsid w:val="00EB750B"/>
    <w:rsid w:val="00EC2B25"/>
    <w:rsid w:val="00EC6E98"/>
    <w:rsid w:val="00ED088C"/>
    <w:rsid w:val="00ED3FC6"/>
    <w:rsid w:val="00EF01EC"/>
    <w:rsid w:val="00EF65CD"/>
    <w:rsid w:val="00F07709"/>
    <w:rsid w:val="00F11A64"/>
    <w:rsid w:val="00F124DB"/>
    <w:rsid w:val="00F14E33"/>
    <w:rsid w:val="00F21ED7"/>
    <w:rsid w:val="00F30DAD"/>
    <w:rsid w:val="00F324E1"/>
    <w:rsid w:val="00F33289"/>
    <w:rsid w:val="00F34B2C"/>
    <w:rsid w:val="00F601B3"/>
    <w:rsid w:val="00F65B52"/>
    <w:rsid w:val="00F71083"/>
    <w:rsid w:val="00F81094"/>
    <w:rsid w:val="00F84C7F"/>
    <w:rsid w:val="00F915D9"/>
    <w:rsid w:val="00FA0FAC"/>
    <w:rsid w:val="00FA4695"/>
    <w:rsid w:val="00FA47DA"/>
    <w:rsid w:val="00FD3F54"/>
    <w:rsid w:val="00FE4E03"/>
    <w:rsid w:val="00F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AEDD"/>
  <w15:docId w15:val="{DEA33FC0-BB97-4053-B97C-05D52BB2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62"/>
    <w:rPr>
      <w:rFonts w:ascii="Times New Roman" w:eastAsia="Times New Roman" w:hAnsi="Times New Roman"/>
      <w:sz w:val="28"/>
      <w:szCs w:val="28"/>
      <w:lang w:val="ro-RO" w:eastAsia="ro-RO"/>
    </w:rPr>
  </w:style>
  <w:style w:type="paragraph" w:styleId="Heading1">
    <w:name w:val="heading 1"/>
    <w:basedOn w:val="Normal"/>
    <w:next w:val="Normal"/>
    <w:link w:val="Heading1Char"/>
    <w:uiPriority w:val="9"/>
    <w:qFormat/>
    <w:rsid w:val="00AF0F4E"/>
    <w:pPr>
      <w:keepNext/>
      <w:spacing w:before="240" w:after="60" w:line="276" w:lineRule="auto"/>
      <w:outlineLvl w:val="0"/>
    </w:pPr>
    <w:rPr>
      <w:rFonts w:ascii="Calibri Light" w:hAnsi="Calibri Light"/>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862"/>
    <w:pPr>
      <w:tabs>
        <w:tab w:val="center" w:pos="4536"/>
        <w:tab w:val="right" w:pos="9072"/>
      </w:tabs>
    </w:pPr>
  </w:style>
  <w:style w:type="character" w:customStyle="1" w:styleId="HeaderChar">
    <w:name w:val="Header Char"/>
    <w:link w:val="Header"/>
    <w:rsid w:val="00BF3862"/>
    <w:rPr>
      <w:rFonts w:ascii="Times New Roman" w:eastAsia="Times New Roman" w:hAnsi="Times New Roman" w:cs="Times New Roman"/>
      <w:sz w:val="28"/>
      <w:szCs w:val="28"/>
      <w:lang w:eastAsia="ro-RO"/>
    </w:rPr>
  </w:style>
  <w:style w:type="character" w:styleId="PageNumber">
    <w:name w:val="page number"/>
    <w:rsid w:val="00BF3862"/>
  </w:style>
  <w:style w:type="paragraph" w:styleId="Footer">
    <w:name w:val="footer"/>
    <w:basedOn w:val="Normal"/>
    <w:link w:val="FooterChar"/>
    <w:uiPriority w:val="99"/>
    <w:rsid w:val="00BF3862"/>
    <w:pPr>
      <w:tabs>
        <w:tab w:val="center" w:pos="4680"/>
        <w:tab w:val="right" w:pos="9360"/>
      </w:tabs>
    </w:pPr>
  </w:style>
  <w:style w:type="character" w:customStyle="1" w:styleId="FooterChar">
    <w:name w:val="Footer Char"/>
    <w:link w:val="Footer"/>
    <w:uiPriority w:val="99"/>
    <w:rsid w:val="00BF3862"/>
    <w:rPr>
      <w:rFonts w:ascii="Times New Roman" w:eastAsia="Times New Roman" w:hAnsi="Times New Roman" w:cs="Times New Roman"/>
      <w:sz w:val="28"/>
      <w:szCs w:val="28"/>
      <w:lang w:eastAsia="ro-RO"/>
    </w:rPr>
  </w:style>
  <w:style w:type="table" w:styleId="TableGrid">
    <w:name w:val="Table Grid"/>
    <w:basedOn w:val="TableNormal"/>
    <w:uiPriority w:val="59"/>
    <w:rsid w:val="000243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C94"/>
    <w:rPr>
      <w:rFonts w:ascii="Tahoma" w:hAnsi="Tahoma" w:cs="Tahoma"/>
      <w:sz w:val="16"/>
      <w:szCs w:val="16"/>
    </w:rPr>
  </w:style>
  <w:style w:type="character" w:customStyle="1" w:styleId="BalloonTextChar">
    <w:name w:val="Balloon Text Char"/>
    <w:link w:val="BalloonText"/>
    <w:uiPriority w:val="99"/>
    <w:semiHidden/>
    <w:rsid w:val="000E6C94"/>
    <w:rPr>
      <w:rFonts w:ascii="Tahoma" w:eastAsia="Times New Roman" w:hAnsi="Tahoma" w:cs="Tahoma"/>
      <w:sz w:val="16"/>
      <w:szCs w:val="16"/>
    </w:rPr>
  </w:style>
  <w:style w:type="paragraph" w:styleId="ListParagraph">
    <w:name w:val="List Paragraph"/>
    <w:basedOn w:val="Normal"/>
    <w:uiPriority w:val="34"/>
    <w:qFormat/>
    <w:rsid w:val="00E416D8"/>
    <w:pPr>
      <w:ind w:left="720"/>
      <w:contextualSpacing/>
    </w:pPr>
  </w:style>
  <w:style w:type="paragraph" w:styleId="FootnoteText">
    <w:name w:val="footnote text"/>
    <w:basedOn w:val="Normal"/>
    <w:link w:val="FootnoteTextChar"/>
    <w:uiPriority w:val="99"/>
    <w:semiHidden/>
    <w:unhideWhenUsed/>
    <w:rsid w:val="00123FA4"/>
    <w:pPr>
      <w:spacing w:after="160" w:line="256" w:lineRule="auto"/>
    </w:pPr>
    <w:rPr>
      <w:rFonts w:ascii="Calibri" w:eastAsia="Calibri" w:hAnsi="Calibri"/>
      <w:sz w:val="20"/>
      <w:szCs w:val="20"/>
      <w:lang w:val="en-GB" w:eastAsia="en-US"/>
    </w:rPr>
  </w:style>
  <w:style w:type="character" w:customStyle="1" w:styleId="FootnoteTextChar">
    <w:name w:val="Footnote Text Char"/>
    <w:link w:val="FootnoteText"/>
    <w:uiPriority w:val="99"/>
    <w:semiHidden/>
    <w:rsid w:val="00123FA4"/>
    <w:rPr>
      <w:lang w:val="en-GB"/>
    </w:rPr>
  </w:style>
  <w:style w:type="character" w:styleId="FootnoteReference">
    <w:name w:val="footnote reference"/>
    <w:uiPriority w:val="99"/>
    <w:semiHidden/>
    <w:unhideWhenUsed/>
    <w:rsid w:val="00123FA4"/>
    <w:rPr>
      <w:vertAlign w:val="superscript"/>
    </w:rPr>
  </w:style>
  <w:style w:type="character" w:customStyle="1" w:styleId="Heading1Char">
    <w:name w:val="Heading 1 Char"/>
    <w:link w:val="Heading1"/>
    <w:uiPriority w:val="9"/>
    <w:rsid w:val="00AF0F4E"/>
    <w:rPr>
      <w:rFonts w:ascii="Calibri Light" w:eastAsia="Times New Roman" w:hAnsi="Calibri Light"/>
      <w:b/>
      <w:bCs/>
      <w:kern w:val="32"/>
      <w:sz w:val="32"/>
      <w:szCs w:val="32"/>
      <w:lang w:val="ro-RO" w:eastAsia="x-none"/>
    </w:rPr>
  </w:style>
  <w:style w:type="character" w:styleId="Strong">
    <w:name w:val="Strong"/>
    <w:uiPriority w:val="22"/>
    <w:qFormat/>
    <w:rsid w:val="00AF0F4E"/>
    <w:rPr>
      <w:rFonts w:ascii="Times New Roman" w:hAnsi="Times New Roman" w:cs="Times New Roman" w:hint="default"/>
      <w:b/>
      <w:bCs/>
    </w:rPr>
  </w:style>
  <w:style w:type="paragraph" w:styleId="NormalWeb">
    <w:name w:val="Normal (Web)"/>
    <w:basedOn w:val="Normal"/>
    <w:uiPriority w:val="99"/>
    <w:unhideWhenUsed/>
    <w:rsid w:val="00AF0F4E"/>
    <w:pPr>
      <w:spacing w:before="100" w:beforeAutospacing="1" w:after="100" w:afterAutospacing="1"/>
    </w:pPr>
    <w:rPr>
      <w:rFonts w:eastAsia="Calibri"/>
      <w:sz w:val="24"/>
      <w:szCs w:val="24"/>
      <w:lang w:val="en-US" w:eastAsia="en-US"/>
    </w:rPr>
  </w:style>
  <w:style w:type="paragraph" w:customStyle="1" w:styleId="TableParagraph">
    <w:name w:val="Table Paragraph"/>
    <w:basedOn w:val="Normal"/>
    <w:uiPriority w:val="1"/>
    <w:qFormat/>
    <w:rsid w:val="00A62022"/>
    <w:pPr>
      <w:widowControl w:val="0"/>
      <w:autoSpaceDE w:val="0"/>
      <w:autoSpaceDN w:val="0"/>
      <w:ind w:left="108"/>
    </w:pPr>
    <w:rPr>
      <w:sz w:val="22"/>
      <w:szCs w:val="22"/>
      <w:lang w:eastAsia="en-US"/>
    </w:rPr>
  </w:style>
  <w:style w:type="character" w:customStyle="1" w:styleId="l5def1">
    <w:name w:val="l5def1"/>
    <w:rsid w:val="00487068"/>
    <w:rPr>
      <w:rFonts w:ascii="Arial" w:hAnsi="Arial" w:cs="Arial" w:hint="default"/>
      <w:color w:val="000000"/>
      <w:sz w:val="26"/>
      <w:szCs w:val="26"/>
    </w:rPr>
  </w:style>
  <w:style w:type="character" w:customStyle="1" w:styleId="l5def">
    <w:name w:val="l5def"/>
    <w:basedOn w:val="DefaultParagraphFont"/>
    <w:rsid w:val="00487068"/>
  </w:style>
  <w:style w:type="character" w:customStyle="1" w:styleId="l5tlu1">
    <w:name w:val="l5tlu1"/>
    <w:rsid w:val="00487068"/>
    <w:rPr>
      <w:b/>
      <w:bCs/>
      <w:color w:val="000000"/>
      <w:sz w:val="32"/>
      <w:szCs w:val="32"/>
    </w:rPr>
  </w:style>
  <w:style w:type="character" w:styleId="Hyperlink">
    <w:name w:val="Hyperlink"/>
    <w:uiPriority w:val="99"/>
    <w:unhideWhenUsed/>
    <w:rsid w:val="00487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281">
      <w:bodyDiv w:val="1"/>
      <w:marLeft w:val="0"/>
      <w:marRight w:val="0"/>
      <w:marTop w:val="0"/>
      <w:marBottom w:val="0"/>
      <w:divBdr>
        <w:top w:val="none" w:sz="0" w:space="0" w:color="auto"/>
        <w:left w:val="none" w:sz="0" w:space="0" w:color="auto"/>
        <w:bottom w:val="none" w:sz="0" w:space="0" w:color="auto"/>
        <w:right w:val="none" w:sz="0" w:space="0" w:color="auto"/>
      </w:divBdr>
    </w:div>
    <w:div w:id="216667346">
      <w:bodyDiv w:val="1"/>
      <w:marLeft w:val="0"/>
      <w:marRight w:val="0"/>
      <w:marTop w:val="0"/>
      <w:marBottom w:val="0"/>
      <w:divBdr>
        <w:top w:val="none" w:sz="0" w:space="0" w:color="auto"/>
        <w:left w:val="none" w:sz="0" w:space="0" w:color="auto"/>
        <w:bottom w:val="none" w:sz="0" w:space="0" w:color="auto"/>
        <w:right w:val="none" w:sz="0" w:space="0" w:color="auto"/>
      </w:divBdr>
    </w:div>
    <w:div w:id="338585371">
      <w:bodyDiv w:val="1"/>
      <w:marLeft w:val="0"/>
      <w:marRight w:val="0"/>
      <w:marTop w:val="0"/>
      <w:marBottom w:val="0"/>
      <w:divBdr>
        <w:top w:val="none" w:sz="0" w:space="0" w:color="auto"/>
        <w:left w:val="none" w:sz="0" w:space="0" w:color="auto"/>
        <w:bottom w:val="none" w:sz="0" w:space="0" w:color="auto"/>
        <w:right w:val="none" w:sz="0" w:space="0" w:color="auto"/>
      </w:divBdr>
      <w:divsChild>
        <w:div w:id="1127312621">
          <w:marLeft w:val="0"/>
          <w:marRight w:val="0"/>
          <w:marTop w:val="0"/>
          <w:marBottom w:val="0"/>
          <w:divBdr>
            <w:top w:val="none" w:sz="0" w:space="0" w:color="auto"/>
            <w:left w:val="none" w:sz="0" w:space="0" w:color="auto"/>
            <w:bottom w:val="none" w:sz="0" w:space="0" w:color="auto"/>
            <w:right w:val="none" w:sz="0" w:space="0" w:color="auto"/>
          </w:divBdr>
        </w:div>
      </w:divsChild>
    </w:div>
    <w:div w:id="584607312">
      <w:bodyDiv w:val="1"/>
      <w:marLeft w:val="0"/>
      <w:marRight w:val="0"/>
      <w:marTop w:val="0"/>
      <w:marBottom w:val="0"/>
      <w:divBdr>
        <w:top w:val="none" w:sz="0" w:space="0" w:color="auto"/>
        <w:left w:val="none" w:sz="0" w:space="0" w:color="auto"/>
        <w:bottom w:val="none" w:sz="0" w:space="0" w:color="auto"/>
        <w:right w:val="none" w:sz="0" w:space="0" w:color="auto"/>
      </w:divBdr>
    </w:div>
    <w:div w:id="792669557">
      <w:bodyDiv w:val="1"/>
      <w:marLeft w:val="0"/>
      <w:marRight w:val="0"/>
      <w:marTop w:val="0"/>
      <w:marBottom w:val="0"/>
      <w:divBdr>
        <w:top w:val="none" w:sz="0" w:space="0" w:color="auto"/>
        <w:left w:val="none" w:sz="0" w:space="0" w:color="auto"/>
        <w:bottom w:val="none" w:sz="0" w:space="0" w:color="auto"/>
        <w:right w:val="none" w:sz="0" w:space="0" w:color="auto"/>
      </w:divBdr>
    </w:div>
    <w:div w:id="853540868">
      <w:bodyDiv w:val="1"/>
      <w:marLeft w:val="0"/>
      <w:marRight w:val="0"/>
      <w:marTop w:val="0"/>
      <w:marBottom w:val="0"/>
      <w:divBdr>
        <w:top w:val="none" w:sz="0" w:space="0" w:color="auto"/>
        <w:left w:val="none" w:sz="0" w:space="0" w:color="auto"/>
        <w:bottom w:val="none" w:sz="0" w:space="0" w:color="auto"/>
        <w:right w:val="none" w:sz="0" w:space="0" w:color="auto"/>
      </w:divBdr>
    </w:div>
    <w:div w:id="952979354">
      <w:bodyDiv w:val="1"/>
      <w:marLeft w:val="0"/>
      <w:marRight w:val="0"/>
      <w:marTop w:val="0"/>
      <w:marBottom w:val="0"/>
      <w:divBdr>
        <w:top w:val="none" w:sz="0" w:space="0" w:color="auto"/>
        <w:left w:val="none" w:sz="0" w:space="0" w:color="auto"/>
        <w:bottom w:val="none" w:sz="0" w:space="0" w:color="auto"/>
        <w:right w:val="none" w:sz="0" w:space="0" w:color="auto"/>
      </w:divBdr>
      <w:divsChild>
        <w:div w:id="961420764">
          <w:marLeft w:val="0"/>
          <w:marRight w:val="0"/>
          <w:marTop w:val="0"/>
          <w:marBottom w:val="0"/>
          <w:divBdr>
            <w:top w:val="none" w:sz="0" w:space="0" w:color="auto"/>
            <w:left w:val="none" w:sz="0" w:space="0" w:color="auto"/>
            <w:bottom w:val="none" w:sz="0" w:space="0" w:color="auto"/>
            <w:right w:val="none" w:sz="0" w:space="0" w:color="auto"/>
          </w:divBdr>
        </w:div>
      </w:divsChild>
    </w:div>
    <w:div w:id="9890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B0A4-8B5B-41E9-AC69-4AC3B765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3152</Words>
  <Characters>17967</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Chesa</dc:creator>
  <cp:keywords/>
  <cp:lastModifiedBy>user</cp:lastModifiedBy>
  <cp:revision>2</cp:revision>
  <cp:lastPrinted>2022-04-14T09:51:00Z</cp:lastPrinted>
  <dcterms:created xsi:type="dcterms:W3CDTF">2026-01-27T12:40:00Z</dcterms:created>
  <dcterms:modified xsi:type="dcterms:W3CDTF">2026-01-27T12:40:00Z</dcterms:modified>
</cp:coreProperties>
</file>