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9722F" w14:textId="77777777" w:rsidR="00436216" w:rsidRPr="004A226E" w:rsidRDefault="00436216" w:rsidP="007A25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26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1C1ED9" w:rsidRPr="004A226E">
        <w:rPr>
          <w:rFonts w:ascii="Times New Roman" w:hAnsi="Times New Roman" w:cs="Times New Roman"/>
          <w:b/>
          <w:bCs/>
          <w:sz w:val="24"/>
          <w:szCs w:val="24"/>
        </w:rPr>
        <w:t xml:space="preserve">ege </w:t>
      </w:r>
    </w:p>
    <w:p w14:paraId="728197A9" w14:textId="57B69831" w:rsidR="001C1ED9" w:rsidRPr="004A226E" w:rsidRDefault="001C1ED9" w:rsidP="007A25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b/>
          <w:bCs/>
          <w:sz w:val="24"/>
          <w:szCs w:val="24"/>
        </w:rPr>
        <w:t>normele</w:t>
      </w:r>
      <w:proofErr w:type="spellEnd"/>
      <w:r w:rsidRPr="004A22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b/>
          <w:bCs/>
          <w:sz w:val="24"/>
          <w:szCs w:val="24"/>
        </w:rPr>
        <w:t>comune</w:t>
      </w:r>
      <w:proofErr w:type="spellEnd"/>
      <w:r w:rsidRPr="004A226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b/>
          <w:bCs/>
          <w:sz w:val="24"/>
          <w:szCs w:val="24"/>
        </w:rPr>
        <w:t>promovare</w:t>
      </w:r>
      <w:proofErr w:type="spellEnd"/>
      <w:r w:rsidRPr="004A226E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b/>
          <w:bCs/>
          <w:sz w:val="24"/>
          <w:szCs w:val="24"/>
        </w:rPr>
        <w:t>reparării</w:t>
      </w:r>
      <w:proofErr w:type="spellEnd"/>
      <w:r w:rsidRPr="004A22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b/>
          <w:bCs/>
          <w:sz w:val="24"/>
          <w:szCs w:val="24"/>
        </w:rPr>
        <w:t>bunurilor</w:t>
      </w:r>
      <w:proofErr w:type="spellEnd"/>
      <w:r w:rsidRPr="004A22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b/>
          <w:bCs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b/>
          <w:bCs/>
          <w:sz w:val="24"/>
          <w:szCs w:val="24"/>
        </w:rPr>
        <w:t>unor</w:t>
      </w:r>
      <w:proofErr w:type="spellEnd"/>
      <w:r w:rsidRPr="004A22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b/>
          <w:bCs/>
          <w:sz w:val="24"/>
          <w:szCs w:val="24"/>
        </w:rPr>
        <w:t>acte</w:t>
      </w:r>
      <w:proofErr w:type="spellEnd"/>
      <w:r w:rsidRPr="004A226E">
        <w:rPr>
          <w:rFonts w:ascii="Times New Roman" w:hAnsi="Times New Roman" w:cs="Times New Roman"/>
          <w:b/>
          <w:bCs/>
          <w:sz w:val="24"/>
          <w:szCs w:val="24"/>
        </w:rPr>
        <w:t xml:space="preserve"> normative </w:t>
      </w:r>
      <w:proofErr w:type="spellStart"/>
      <w:r w:rsidRPr="004A226E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b/>
          <w:bCs/>
          <w:sz w:val="24"/>
          <w:szCs w:val="24"/>
        </w:rPr>
        <w:t>domeniul</w:t>
      </w:r>
      <w:proofErr w:type="spellEnd"/>
      <w:r w:rsidRPr="004A22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b/>
          <w:bCs/>
          <w:sz w:val="24"/>
          <w:szCs w:val="24"/>
        </w:rPr>
        <w:t>protecției</w:t>
      </w:r>
      <w:proofErr w:type="spellEnd"/>
      <w:r w:rsidRPr="004A22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b/>
          <w:bCs/>
          <w:sz w:val="24"/>
          <w:szCs w:val="24"/>
        </w:rPr>
        <w:t>consumatorilor</w:t>
      </w:r>
      <w:proofErr w:type="spellEnd"/>
    </w:p>
    <w:p w14:paraId="70A43051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0BC54" w14:textId="77777777" w:rsidR="00730DA7" w:rsidRPr="004A226E" w:rsidRDefault="00FD02E5" w:rsidP="007A25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Style w:val="l5def1"/>
          <w:rFonts w:ascii="Times New Roman" w:hAnsi="Times New Roman" w:cs="Times New Roman"/>
          <w:i/>
          <w:iCs/>
          <w:color w:val="auto"/>
          <w:sz w:val="24"/>
          <w:szCs w:val="24"/>
        </w:rPr>
        <w:t>Parlamentul</w:t>
      </w:r>
      <w:proofErr w:type="spellEnd"/>
      <w:r w:rsidRPr="004A226E">
        <w:rPr>
          <w:rStyle w:val="l5def1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i/>
          <w:iCs/>
          <w:color w:val="auto"/>
          <w:sz w:val="24"/>
          <w:szCs w:val="24"/>
        </w:rPr>
        <w:t>României</w:t>
      </w:r>
      <w:proofErr w:type="spellEnd"/>
      <w:r w:rsidRPr="004A226E">
        <w:rPr>
          <w:rStyle w:val="l5def1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i/>
          <w:iCs/>
          <w:color w:val="auto"/>
          <w:sz w:val="24"/>
          <w:szCs w:val="24"/>
        </w:rPr>
        <w:t>adoptă</w:t>
      </w:r>
      <w:proofErr w:type="spellEnd"/>
      <w:r w:rsidRPr="004A226E">
        <w:rPr>
          <w:rStyle w:val="l5def1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i/>
          <w:iCs/>
          <w:color w:val="auto"/>
          <w:sz w:val="24"/>
          <w:szCs w:val="24"/>
        </w:rPr>
        <w:t>prezenta</w:t>
      </w:r>
      <w:proofErr w:type="spellEnd"/>
      <w:r w:rsidRPr="004A226E">
        <w:rPr>
          <w:rStyle w:val="l5def1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i/>
          <w:iCs/>
          <w:color w:val="auto"/>
          <w:sz w:val="24"/>
          <w:szCs w:val="24"/>
        </w:rPr>
        <w:t>lege</w:t>
      </w:r>
      <w:proofErr w:type="spellEnd"/>
      <w:r w:rsidRPr="004A226E">
        <w:rPr>
          <w:rStyle w:val="l5def1"/>
          <w:rFonts w:ascii="Times New Roman" w:hAnsi="Times New Roman" w:cs="Times New Roman"/>
          <w:i/>
          <w:iCs/>
          <w:color w:val="auto"/>
          <w:sz w:val="24"/>
          <w:szCs w:val="24"/>
        </w:rPr>
        <w:t>.</w:t>
      </w:r>
      <w:r w:rsidRPr="004A226E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730DA7" w:rsidRPr="004A22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17F0A" w14:textId="7B031B53" w:rsidR="007A2519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CAPITOLUL I</w:t>
      </w:r>
    </w:p>
    <w:p w14:paraId="7C03AC97" w14:textId="40E9C5B3" w:rsidR="00730DA7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r w:rsidR="00730DA7" w:rsidRPr="004A226E">
        <w:rPr>
          <w:rFonts w:ascii="Times New Roman" w:hAnsi="Times New Roman" w:cs="Times New Roman"/>
          <w:sz w:val="24"/>
          <w:szCs w:val="24"/>
        </w:rPr>
        <w:t>1</w:t>
      </w:r>
    </w:p>
    <w:p w14:paraId="34011424" w14:textId="77777777" w:rsidR="00730DA7" w:rsidRPr="004A226E" w:rsidRDefault="00730DA7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scop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aplicare</w:t>
      </w:r>
      <w:proofErr w:type="spellEnd"/>
    </w:p>
    <w:p w14:paraId="0A4F94E8" w14:textId="286E8983" w:rsidR="001C1ED9" w:rsidRPr="004A226E" w:rsidRDefault="001C1ED9" w:rsidP="007A25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A104C65" w14:textId="73E3BD45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consolidează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dispozițiile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contribui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buna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pieței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interne,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asigurând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același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ridicat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597F85EC" w14:textId="523D5F60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2E5" w:rsidRPr="004A226E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achiziționate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existenței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defect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survine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constatat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afara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răspunderii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vânzătorului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 9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nr. 140/2021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="00FD02E5" w:rsidRPr="004A226E">
        <w:rPr>
          <w:rFonts w:ascii="Times New Roman" w:hAnsi="Times New Roman" w:cs="Times New Roman"/>
          <w:sz w:val="24"/>
          <w:szCs w:val="24"/>
        </w:rPr>
        <w:t>.</w:t>
      </w:r>
      <w:r w:rsidRPr="004A226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418368" w14:textId="69F5893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5</w:t>
      </w:r>
      <w:r w:rsidR="001E6766" w:rsidRPr="004A226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1E6766"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care sunt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potențialul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enumerate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II</w:t>
      </w:r>
      <w:r w:rsidR="001E6766"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E6766"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respectivele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62CFC4D6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atingere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nr. 245/2020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test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proporționalitate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adoptării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reglementări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profesii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0E299946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404EB0" w14:textId="0D752193" w:rsidR="00E307D3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r w:rsidR="00E307D3" w:rsidRPr="004A226E">
        <w:rPr>
          <w:rFonts w:ascii="Times New Roman" w:hAnsi="Times New Roman" w:cs="Times New Roman"/>
          <w:sz w:val="24"/>
          <w:szCs w:val="24"/>
        </w:rPr>
        <w:t>2</w:t>
      </w:r>
    </w:p>
    <w:p w14:paraId="70179E03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Definiții</w:t>
      </w:r>
      <w:proofErr w:type="spellEnd"/>
    </w:p>
    <w:p w14:paraId="57BF207B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8EC0D3" w14:textId="79C2CF41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legi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definiții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:</w:t>
      </w:r>
    </w:p>
    <w:p w14:paraId="2522D4AE" w14:textId="77777777" w:rsidR="00C22075" w:rsidRPr="004A226E" w:rsidRDefault="00C22075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- „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definiției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art. 2 pct.1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nr. 140/2021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excepția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gazului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26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4445DEFE" w14:textId="6B144D36" w:rsidR="00C22075" w:rsidRPr="004A226E" w:rsidRDefault="00C22075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potențialul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enumerate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II</w:t>
      </w:r>
      <w:r w:rsidR="00FD02E5" w:rsidRPr="004A226E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FD02E5"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FD02E5" w:rsidRPr="004A226E">
        <w:rPr>
          <w:rFonts w:ascii="Times New Roman" w:hAnsi="Times New Roman" w:cs="Times New Roman"/>
          <w:sz w:val="24"/>
          <w:szCs w:val="24"/>
        </w:rPr>
        <w:t>,</w:t>
      </w:r>
      <w:r w:rsidRPr="004A226E">
        <w:rPr>
          <w:rFonts w:ascii="Times New Roman" w:hAnsi="Times New Roman" w:cs="Times New Roman"/>
          <w:sz w:val="24"/>
          <w:szCs w:val="24"/>
        </w:rPr>
        <w:t xml:space="preserve"> care permit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bun,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sporirea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ușurinței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dezasamblării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piese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componente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bunurilor</w:t>
      </w:r>
      <w:proofErr w:type="spellEnd"/>
    </w:p>
    <w:p w14:paraId="3398DAB5" w14:textId="61AC52A5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- „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definiției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art. 2 pct. 4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nr. 140/2021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23A0F934" w14:textId="77777777" w:rsidR="00C22075" w:rsidRPr="004A226E" w:rsidRDefault="00C22075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distribuitor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- „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distribuitor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definiției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art. 2 pct. 45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2024/1781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13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2024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instituire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sustenabile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2020/1828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2023/1542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2009/125/CE;</w:t>
      </w:r>
    </w:p>
    <w:p w14:paraId="718500ED" w14:textId="77777777" w:rsidR="00C22075" w:rsidRPr="004A226E" w:rsidRDefault="00C22075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importator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- „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importator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definiției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44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2024/1781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13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2024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instituire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lastRenderedPageBreak/>
        <w:t>sustenabile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2020/1828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2023/1542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2009/125/CE;</w:t>
      </w:r>
    </w:p>
    <w:p w14:paraId="1681776A" w14:textId="73B11908" w:rsidR="00C22075" w:rsidRPr="004A226E" w:rsidRDefault="00C22075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- „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definiției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art. 2 pct. 42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2024/1781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13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2024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instituire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sustenabile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2020/1828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2023/1542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2009/125/CE;</w:t>
      </w:r>
    </w:p>
    <w:p w14:paraId="3F590102" w14:textId="77777777" w:rsidR="00C22075" w:rsidRPr="004A226E" w:rsidRDefault="00C22075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recondiționare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- „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recondiționare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definiției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art. 2 pct. 18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2024/1781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13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2024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instituire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sustenabile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2020/1828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2023/1542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2009/125/CE;</w:t>
      </w:r>
    </w:p>
    <w:p w14:paraId="1975F2B2" w14:textId="6C1A3A9E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- „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definiției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art. 2 pct. 20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2024/1781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13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2024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instituire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sustenabile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2020/1828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2023/1542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2009/125/CE;</w:t>
      </w:r>
    </w:p>
    <w:p w14:paraId="02078415" w14:textId="77777777" w:rsidR="00C22075" w:rsidRPr="004A226E" w:rsidRDefault="00C22075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comercială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industrială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meșteșugărească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furnizează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vânzătorii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furnizează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furnizorii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independenți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afiliați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vânzători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3701CED9" w14:textId="4547C333" w:rsidR="00C22075" w:rsidRPr="004A226E" w:rsidRDefault="00C22075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- „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definiției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art. 2 pct. 43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2024/1781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13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2024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instituire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sustenabile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2020/1828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2023/1542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2009/125/CE;</w:t>
      </w:r>
    </w:p>
    <w:p w14:paraId="1EC7E2AC" w14:textId="5E6A030D" w:rsidR="00C22075" w:rsidRPr="004A226E" w:rsidRDefault="00C22075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durabil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-„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durabil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definiției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art. 2 pct. 17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nr. 140/2021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excepția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gazului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26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7251FCD0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vânzător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- „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vânzător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definiției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art. 2 pct. 18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nr. 140/2021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489F3132" w14:textId="77777777" w:rsidR="007A2519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325773" w14:textId="5E1C0B37" w:rsidR="007A2519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CAPITOLUL II</w:t>
      </w:r>
    </w:p>
    <w:p w14:paraId="2D643928" w14:textId="62B36D51" w:rsidR="00E307D3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="00E307D3" w:rsidRPr="004A226E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78F185A6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</w:p>
    <w:p w14:paraId="2ED1846F" w14:textId="77777777" w:rsidR="007A2519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5E76CF" w14:textId="69B0890C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(1)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="00FD02E5" w:rsidRPr="004A226E">
        <w:rPr>
          <w:rFonts w:ascii="Times New Roman" w:hAnsi="Times New Roman" w:cs="Times New Roman"/>
          <w:sz w:val="24"/>
          <w:szCs w:val="24"/>
        </w:rPr>
        <w:t>,</w:t>
      </w:r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</w:t>
      </w:r>
      <w:r w:rsidR="00FD02E5"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D02E5"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00B70B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mentionat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pus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pe un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durabil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-un termen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rezonabil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asumă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prestare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746E449F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(3)   Prin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alineatul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(2),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diagnosticare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examinare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distanță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pentru </w:t>
      </w:r>
      <w:proofErr w:type="gramStart"/>
      <w:r w:rsidRPr="004A226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identifica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natura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defectului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tipul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lastRenderedPageBreak/>
        <w:t>reparație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estima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plătească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costurile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409750EA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(4)  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Ordonanţei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nr. 34/2014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încheiate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profesioniştii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normative,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costurile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diagnosticare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0807FADA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(5) 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precizează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-un mod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ușor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înțeles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:</w:t>
      </w:r>
    </w:p>
    <w:p w14:paraId="6D31B640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a)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046568DD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b)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geografică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e-mail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online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permit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contacteze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comunice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-un mod rapid,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eficient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accesibil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2F27D770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2680B835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d)</w:t>
      </w:r>
      <w:r w:rsidRPr="004A226E">
        <w:rPr>
          <w:rFonts w:ascii="Times New Roman" w:hAnsi="Times New Roman" w:cs="Times New Roman"/>
          <w:sz w:val="24"/>
          <w:szCs w:val="24"/>
        </w:rPr>
        <w:tab/>
        <w:t xml:space="preserve">natura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defectului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tipul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reparație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sugerat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1207A8A3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e)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calculat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avans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rezonabil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prețului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maxim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4ADD28D7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f)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122000A2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g)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disponibilitatea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înlocuire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temporară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costurile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înlocuirii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temporare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</w:t>
      </w:r>
      <w:proofErr w:type="spellEnd"/>
    </w:p>
    <w:p w14:paraId="4E236CF0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h)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predă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401722C2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disponibilitatea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auxiliare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cum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demontarea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costurile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detaliate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7388E6A9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j)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formularului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07F7BB93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(k)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5A7E81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precizate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o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data la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pus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B3EC15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(7)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formularului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(6) </w:t>
      </w:r>
    </w:p>
    <w:p w14:paraId="3674DDF0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(8)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acceptă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cursul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22F19BCD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(9)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pus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un formular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complet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exact,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consideră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îndeplinit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:</w:t>
      </w:r>
    </w:p>
    <w:p w14:paraId="6111A167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a)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principalele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 4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proofErr w:type="gramStart"/>
      <w:r w:rsidRPr="004A226E">
        <w:rPr>
          <w:rFonts w:ascii="Times New Roman" w:hAnsi="Times New Roman" w:cs="Times New Roman"/>
          <w:sz w:val="24"/>
          <w:szCs w:val="24"/>
        </w:rPr>
        <w:t>lit.a</w:t>
      </w:r>
      <w:proofErr w:type="spellEnd"/>
      <w:proofErr w:type="gramEnd"/>
      <w:r w:rsidRPr="004A226E">
        <w:rPr>
          <w:rFonts w:ascii="Times New Roman" w:hAnsi="Times New Roman" w:cs="Times New Roman"/>
          <w:sz w:val="24"/>
          <w:szCs w:val="24"/>
        </w:rPr>
        <w:t xml:space="preserve"> (a)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alineatul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(a)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nr. 34/2014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încheiate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profesioniştii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normative,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 26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lit. j)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4A226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Pr="004A226E">
        <w:rPr>
          <w:rFonts w:ascii="Times New Roman" w:hAnsi="Times New Roman" w:cs="Times New Roman"/>
          <w:sz w:val="24"/>
          <w:szCs w:val="24"/>
        </w:rPr>
        <w:t xml:space="preserve">. 49/2009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libertatea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prestatorilor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libertatea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furniza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042C1E05" w14:textId="0B1A5559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b)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 4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lit. (b)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 6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proofErr w:type="gramStart"/>
      <w:r w:rsidRPr="004A226E">
        <w:rPr>
          <w:rFonts w:ascii="Times New Roman" w:hAnsi="Times New Roman" w:cs="Times New Roman"/>
          <w:sz w:val="24"/>
          <w:szCs w:val="24"/>
        </w:rPr>
        <w:t>lit.e</w:t>
      </w:r>
      <w:proofErr w:type="spellEnd"/>
      <w:proofErr w:type="gramEnd"/>
      <w:r w:rsidRPr="004A226E">
        <w:rPr>
          <w:rFonts w:ascii="Times New Roman" w:hAnsi="Times New Roman" w:cs="Times New Roman"/>
          <w:sz w:val="24"/>
          <w:szCs w:val="24"/>
        </w:rPr>
        <w:t xml:space="preserve"> (b)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(c)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nr. 34/2014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lastRenderedPageBreak/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încheiate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profesioniştii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normative,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la art. 26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lit. a)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4A226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Pr="004A226E">
        <w:rPr>
          <w:rFonts w:ascii="Times New Roman" w:hAnsi="Times New Roman" w:cs="Times New Roman"/>
          <w:sz w:val="24"/>
          <w:szCs w:val="24"/>
        </w:rPr>
        <w:t xml:space="preserve">. 49/2009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libertatea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prestatorilor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libertatea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furniza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 5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 (1) lit. a)-c)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 365/2002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comerţul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electronic,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B884EF4" w14:textId="05B21DB8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c)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 4 </w:t>
      </w:r>
      <w:proofErr w:type="spellStart"/>
      <w:proofErr w:type="gram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A226E">
        <w:rPr>
          <w:rFonts w:ascii="Times New Roman" w:hAnsi="Times New Roman" w:cs="Times New Roman"/>
          <w:sz w:val="24"/>
          <w:szCs w:val="24"/>
        </w:rPr>
        <w:t xml:space="preserve">1) lit. (c)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 6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.(1)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lit.e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)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nr. 34/2014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încheiate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profesioniştii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 26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proofErr w:type="gramStart"/>
      <w:r w:rsidRPr="004A226E">
        <w:rPr>
          <w:rFonts w:ascii="Times New Roman" w:hAnsi="Times New Roman" w:cs="Times New Roman"/>
          <w:sz w:val="24"/>
          <w:szCs w:val="24"/>
        </w:rPr>
        <w:t>lit.i</w:t>
      </w:r>
      <w:proofErr w:type="spellEnd"/>
      <w:proofErr w:type="gramEnd"/>
      <w:r w:rsidRPr="004A226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 26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(3) lit. a)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4A226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Pr="004A226E">
        <w:rPr>
          <w:rFonts w:ascii="Times New Roman" w:hAnsi="Times New Roman" w:cs="Times New Roman"/>
          <w:sz w:val="24"/>
          <w:szCs w:val="24"/>
        </w:rPr>
        <w:t xml:space="preserve">. 49/2009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libertatea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prestatorilor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libertatea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furniza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51CEF2D9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d)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modalitățile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executare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 4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lit. (d)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 6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lit. (g)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2011/83/UE.</w:t>
      </w:r>
    </w:p>
    <w:p w14:paraId="3FB20AD7" w14:textId="77777777" w:rsidR="00C22075" w:rsidRPr="004A226E" w:rsidRDefault="00C22075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7CDF25" w14:textId="2D3AC8CE" w:rsidR="007A2519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CAPITOLUL III</w:t>
      </w:r>
    </w:p>
    <w:p w14:paraId="5086FECB" w14:textId="0231205B" w:rsidR="00E307D3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="00E307D3" w:rsidRPr="004A226E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65E98DFB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</w:p>
    <w:p w14:paraId="58215FFD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7FAE56" w14:textId="0995B733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(1)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care sunt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potențialul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enumerate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II</w:t>
      </w:r>
      <w:r w:rsidR="00FD02E5"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D02E5"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respectivele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4FF4BC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(2) Prin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excepție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imposibilă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6C7B74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subcontracta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a-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îndeplini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 (1).</w:t>
      </w:r>
    </w:p>
    <w:p w14:paraId="19834779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:</w:t>
      </w:r>
    </w:p>
    <w:p w14:paraId="5C59B81C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a)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fie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schimbul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rezonabil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00612C7B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b)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-un termen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rezonabil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26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intrat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posesia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primit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bun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351A0E7B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c)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furniza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împrumut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un bun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înlocuire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schimbul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sume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rezonabile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192D75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d)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imposibilă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oferi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un bun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recondiționat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7B9063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afara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revine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5EE580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(6)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(5),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nu are un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importatorul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cauză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revine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9760E6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(7)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(5)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(6).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niciun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importator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distribuitorul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cauză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revine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6D4C12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(8)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importatorul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distribuitorul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subcontracta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a-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îndeplini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2C51071F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lastRenderedPageBreak/>
        <w:t xml:space="preserve">(9)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pun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piese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fac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enumerate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oferă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piese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un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rezonabil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descurajează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recurgerea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3B8B0CA6" w14:textId="237A434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(10)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reprezentanții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autorizați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importatorii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distribuitorii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au o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obligație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site web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liber,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prețurile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orientative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percepute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obișnuite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fac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="00FD02E5" w:rsidRPr="004A226E">
        <w:rPr>
          <w:rFonts w:ascii="Times New Roman" w:hAnsi="Times New Roman" w:cs="Times New Roman"/>
          <w:sz w:val="24"/>
          <w:szCs w:val="24"/>
        </w:rPr>
        <w:t>,</w:t>
      </w:r>
      <w:r w:rsidRPr="004A226E">
        <w:rPr>
          <w:rFonts w:ascii="Times New Roman" w:hAnsi="Times New Roman" w:cs="Times New Roman"/>
          <w:sz w:val="24"/>
          <w:szCs w:val="24"/>
        </w:rPr>
        <w:t xml:space="preserve"> enumerate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II</w:t>
      </w:r>
      <w:r w:rsidR="00FD02E5"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D02E5"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6D34BD91" w14:textId="317D0C13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(11)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clauză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contractuală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legată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hardware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software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împiedice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fac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enumerate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II</w:t>
      </w:r>
      <w:r w:rsidR="00FD02E5"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D02E5"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excepția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justificat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factori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legitimi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obiectivi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numără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intelectuală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intern.</w:t>
      </w:r>
    </w:p>
    <w:p w14:paraId="1B596501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(12) 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(11),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împiedică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special,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independenți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pieselor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ocazie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pieselor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compatibile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pieselor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imprimare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3D,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respectivele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piese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intern, cum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siguranța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intelectuală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849E9F" w14:textId="2814FD25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(13)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A226E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(12) nu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atingere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enumerate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II</w:t>
      </w:r>
      <w:r w:rsidR="00FD02E5"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D02E5"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intern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intelectuală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216C7DD2" w14:textId="45CB6128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(14)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refuză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fac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enumerate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II</w:t>
      </w:r>
      <w:r w:rsidR="005410C2"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motivul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reparație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anterioară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efectuată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alți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23A442A4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(15)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26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atingere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aleg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6D0389F7" w14:textId="77777777" w:rsidR="00E307D3" w:rsidRPr="004A226E" w:rsidRDefault="00E307D3" w:rsidP="007A25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CBC9D" w14:textId="3D99A14F" w:rsidR="00E307D3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</w:t>
      </w:r>
      <w:r w:rsidR="00E307D3" w:rsidRPr="004A226E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E307D3" w:rsidRPr="004A226E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67AC9C2A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</w:p>
    <w:p w14:paraId="50918EFC" w14:textId="77777777" w:rsidR="00E307D3" w:rsidRPr="004A226E" w:rsidRDefault="00E307D3" w:rsidP="007A25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26BD8" w14:textId="2701A0DC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importatorul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distribuitorul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26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lor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 4,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lor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-un mod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ușor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accesibil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ușor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înțeles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36BABF36" w14:textId="77777777" w:rsidR="00E307D3" w:rsidRPr="004A226E" w:rsidRDefault="00E307D3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CBDA15" w14:textId="02CD5A4E" w:rsidR="00E307D3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="00E307D3" w:rsidRPr="004A226E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547A1020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</w:p>
    <w:p w14:paraId="03BFF64A" w14:textId="77777777" w:rsidR="00E307D3" w:rsidRPr="004A226E" w:rsidRDefault="00E307D3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ED97E0" w14:textId="23642C0D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secțiunilor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platformelor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platformei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dezvoltată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Comisia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care 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găsească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vânzători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recondiționate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cumpărători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defecte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recondiționării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inițiative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>,</w:t>
      </w:r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gratuită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37278D" w14:textId="719EE5BD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platform</w:t>
      </w:r>
      <w:r w:rsidR="005410C2" w:rsidRPr="004A226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voluntară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vânzătorii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făcut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lastRenderedPageBreak/>
        <w:t>recondiționării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cumpărătorii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defecte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recondiționării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inițiativele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09403FE5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operatorii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economici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relevanți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vânzătorii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disponibilitatea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platformei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7B27881E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FE78B8" w14:textId="6520BD18" w:rsidR="007A2519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CAPITOLUL IV</w:t>
      </w:r>
    </w:p>
    <w:p w14:paraId="6B087CA2" w14:textId="7BC86F1E" w:rsidR="00E307D3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="00E307D3" w:rsidRPr="004A226E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3FA23801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naționale</w:t>
      </w:r>
      <w:proofErr w:type="spellEnd"/>
    </w:p>
    <w:p w14:paraId="2B98DC55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7D1A16" w14:textId="6323801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CAC" w:rsidRPr="004A226E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C32CAC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CAC" w:rsidRPr="004A226E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="00C32CAC"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="00C32CAC" w:rsidRPr="004A226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="00C32CAC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CAC"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="00C32CAC" w:rsidRPr="004A226E">
        <w:rPr>
          <w:rFonts w:ascii="Times New Roman" w:hAnsi="Times New Roman" w:cs="Times New Roman"/>
          <w:sz w:val="24"/>
          <w:szCs w:val="24"/>
        </w:rPr>
        <w:t>.</w:t>
      </w:r>
    </w:p>
    <w:p w14:paraId="33D35477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(2)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data de 31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2026,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Comisia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 (1).</w:t>
      </w:r>
    </w:p>
    <w:p w14:paraId="787350F9" w14:textId="47CE2C38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(</w:t>
      </w:r>
      <w:r w:rsidR="00C22075" w:rsidRPr="004A226E">
        <w:rPr>
          <w:rFonts w:ascii="Times New Roman" w:hAnsi="Times New Roman" w:cs="Times New Roman"/>
          <w:sz w:val="24"/>
          <w:szCs w:val="24"/>
        </w:rPr>
        <w:t>3</w:t>
      </w:r>
      <w:r w:rsidRPr="004A226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Punctului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:</w:t>
      </w:r>
    </w:p>
    <w:p w14:paraId="06701FD4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a)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furnizarea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secțiunea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înregistrării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vânzătorilor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făcut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recondiționării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cumpărătorilor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defecte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recondiționării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26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inițiativelor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1C392A41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b)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oferirea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secțiunilor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platformei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601CC032" w14:textId="77777777" w:rsidR="00E307D3" w:rsidRPr="004A226E" w:rsidRDefault="00E307D3" w:rsidP="007A25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DD8DB" w14:textId="7C6007DB" w:rsidR="00E307D3" w:rsidRPr="004A226E" w:rsidRDefault="00144792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</w:t>
      </w:r>
      <w:r w:rsidR="007A2519" w:rsidRPr="004A226E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E307D3" w:rsidRPr="004A226E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3B1532AF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respectării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normelor</w:t>
      </w:r>
      <w:proofErr w:type="spellEnd"/>
    </w:p>
    <w:p w14:paraId="675AC9F4" w14:textId="77777777" w:rsidR="00E307D3" w:rsidRPr="004A226E" w:rsidRDefault="00E307D3" w:rsidP="007A25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7AB51" w14:textId="0604C955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legi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instituirea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mecanisme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eficiente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control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sancționare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1C6CE1" w14:textId="77777777" w:rsidR="007A2519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165B17" w14:textId="44DF959F" w:rsidR="00E307D3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</w:t>
      </w:r>
      <w:r w:rsidR="00E307D3" w:rsidRPr="004A226E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E307D3" w:rsidRPr="004A226E">
        <w:rPr>
          <w:rFonts w:ascii="Times New Roman" w:hAnsi="Times New Roman" w:cs="Times New Roman"/>
          <w:sz w:val="24"/>
          <w:szCs w:val="24"/>
        </w:rPr>
        <w:t xml:space="preserve"> 9</w:t>
      </w:r>
    </w:p>
    <w:p w14:paraId="7EB13654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</w:p>
    <w:p w14:paraId="55BFDE3F" w14:textId="77777777" w:rsidR="00E307D3" w:rsidRPr="004A226E" w:rsidRDefault="00E307D3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556FC3" w14:textId="50539838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respectării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puse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 site-urile web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conectate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portalul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instituit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2018/1724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2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înființarea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portal digital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(gateway) pentru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oferi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soluționare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nr. 1024/2012</w:t>
      </w:r>
      <w:r w:rsidR="00E307D3" w:rsidRPr="004A226E">
        <w:rPr>
          <w:rFonts w:ascii="Times New Roman" w:hAnsi="Times New Roman" w:cs="Times New Roman"/>
          <w:sz w:val="24"/>
          <w:szCs w:val="24"/>
        </w:rPr>
        <w:t>.</w:t>
      </w:r>
    </w:p>
    <w:p w14:paraId="7A73AE20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ECF13F" w14:textId="5C671A95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7AEFEC7A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membre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promovează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</w:p>
    <w:p w14:paraId="2905845D" w14:textId="77777777" w:rsidR="00E307D3" w:rsidRPr="004A226E" w:rsidRDefault="00E307D3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031C49" w14:textId="72AA1442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lastRenderedPageBreak/>
        <w:t xml:space="preserve">(1)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diseminarea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site‑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ghiduri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online,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emisiuni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radio/TV,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campanii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oferind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beneficiile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înlocuirii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5D3AB9C1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31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2029,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notifică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luate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(1). </w:t>
      </w:r>
    </w:p>
    <w:p w14:paraId="4AA8B16F" w14:textId="77777777" w:rsidR="007A2519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8BA446" w14:textId="5A28D9E0" w:rsidR="00E307D3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="00E307D3" w:rsidRPr="004A226E">
        <w:rPr>
          <w:rFonts w:ascii="Times New Roman" w:hAnsi="Times New Roman" w:cs="Times New Roman"/>
          <w:sz w:val="24"/>
          <w:szCs w:val="24"/>
        </w:rPr>
        <w:t xml:space="preserve"> 11</w:t>
      </w:r>
    </w:p>
    <w:p w14:paraId="7A29C68D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Caracterul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obligatoriu</w:t>
      </w:r>
      <w:proofErr w:type="spellEnd"/>
    </w:p>
    <w:p w14:paraId="5C7EB6A7" w14:textId="77777777" w:rsidR="00E307D3" w:rsidRPr="004A226E" w:rsidRDefault="00E307D3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8EAF6" w14:textId="073943A5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(1)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excepția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prevede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altfel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niciun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contractuală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detrimentul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exclude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26E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derogă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5D4D0966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interzice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ofere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depășesc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asigurat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5FC726E2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5FF158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712EA1" w14:textId="237DA9DD" w:rsidR="007A2519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CAPITOLUL V</w:t>
      </w:r>
    </w:p>
    <w:p w14:paraId="40557592" w14:textId="71E4B142" w:rsidR="00E307D3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="00E307D3" w:rsidRPr="004A226E">
        <w:rPr>
          <w:rFonts w:ascii="Times New Roman" w:hAnsi="Times New Roman" w:cs="Times New Roman"/>
          <w:sz w:val="24"/>
          <w:szCs w:val="24"/>
        </w:rPr>
        <w:t xml:space="preserve"> 12</w:t>
      </w:r>
    </w:p>
    <w:p w14:paraId="298C2E78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Sancțiuni</w:t>
      </w:r>
      <w:proofErr w:type="spellEnd"/>
    </w:p>
    <w:p w14:paraId="13EF738E" w14:textId="77777777" w:rsidR="00E307D3" w:rsidRPr="004A226E" w:rsidRDefault="00E307D3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9200C5" w14:textId="30CCE745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contravenții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fapte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sancționează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:</w:t>
      </w:r>
    </w:p>
    <w:p w14:paraId="7A34367E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art. 3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amendă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4.000 lei la 40.000 lei;</w:t>
      </w:r>
    </w:p>
    <w:p w14:paraId="401B7111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art. 4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amendă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8.000 lei la 80.000 lei</w:t>
      </w:r>
    </w:p>
    <w:p w14:paraId="77CD653A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art. 5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amendă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5.000 lei la 50.000 lei;</w:t>
      </w:r>
    </w:p>
    <w:p w14:paraId="1DB149EC" w14:textId="570E6C82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Săvârşirea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repetată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uneia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contravenţiile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sancţionează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amendă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contravenţională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10.000 lei la 100.000 lei</w:t>
      </w:r>
      <w:r w:rsidR="005410C2" w:rsidRPr="004A226E">
        <w:rPr>
          <w:rFonts w:ascii="Times New Roman" w:hAnsi="Times New Roman" w:cs="Times New Roman"/>
          <w:sz w:val="24"/>
          <w:szCs w:val="24"/>
        </w:rPr>
        <w:t>.</w:t>
      </w:r>
    </w:p>
    <w:p w14:paraId="356DB349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Constatarea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contravențiilor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sancțiunilor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(1)-(2) se fac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reprezentanții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împuterniciți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56C8A75B" w14:textId="460B00B8" w:rsidR="005410C2" w:rsidRPr="004A226E" w:rsidRDefault="005410C2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 (4)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Contravenţiilor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prevăzute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prezenta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lege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le sunt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aplicabile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dispoziţiile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Ordonanţei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Guvernului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7" w:history="1">
        <w:r w:rsidRPr="004A22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nr. 2/2001</w:t>
        </w:r>
      </w:hyperlink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privind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regimul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juridic al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contravenţiilor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aprobată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modificări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completări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prin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Legea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8" w:history="1">
        <w:r w:rsidRPr="004A22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nr. 180/2002</w:t>
        </w:r>
      </w:hyperlink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cu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modificările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completările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ulterioare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.</w:t>
      </w:r>
    </w:p>
    <w:p w14:paraId="7520EE21" w14:textId="77777777" w:rsidR="00E307D3" w:rsidRPr="004A226E" w:rsidRDefault="00E307D3" w:rsidP="007A25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0CE99" w14:textId="218E212E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CAPITOLUL </w:t>
      </w:r>
      <w:r w:rsidR="007A2519" w:rsidRPr="004A226E">
        <w:rPr>
          <w:rFonts w:ascii="Times New Roman" w:hAnsi="Times New Roman" w:cs="Times New Roman"/>
          <w:sz w:val="24"/>
          <w:szCs w:val="24"/>
        </w:rPr>
        <w:t>VI</w:t>
      </w:r>
    </w:p>
    <w:p w14:paraId="0FBD9062" w14:textId="19303DD5" w:rsidR="00730DA7" w:rsidRPr="004A226E" w:rsidRDefault="00E307D3" w:rsidP="007A2519">
      <w:pPr>
        <w:spacing w:after="0"/>
        <w:jc w:val="center"/>
        <w:rPr>
          <w:rStyle w:val="l5def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Dispoziţii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privind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modificarea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unor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acte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normative </w:t>
      </w:r>
      <w:r w:rsidRPr="004A226E">
        <w:rPr>
          <w:rFonts w:ascii="Times New Roman" w:hAnsi="Times New Roman" w:cs="Times New Roman"/>
          <w:sz w:val="24"/>
          <w:szCs w:val="24"/>
        </w:rPr>
        <w:br/>
      </w:r>
    </w:p>
    <w:p w14:paraId="53C215F4" w14:textId="03A9381E" w:rsidR="001C1ED9" w:rsidRPr="004A226E" w:rsidRDefault="00E307D3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b/>
          <w:bCs/>
          <w:sz w:val="24"/>
          <w:szCs w:val="24"/>
        </w:rPr>
        <w:t>Art.13</w:t>
      </w:r>
      <w:r w:rsidR="00730DA7" w:rsidRPr="004A22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30DA7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Ordonanţ</w:t>
      </w:r>
      <w:r w:rsidR="00D32A97" w:rsidRPr="004A226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nr. 140/2021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="00A72833">
        <w:rPr>
          <w:rFonts w:ascii="Times New Roman" w:hAnsi="Times New Roman" w:cs="Times New Roman"/>
          <w:sz w:val="24"/>
          <w:szCs w:val="24"/>
        </w:rPr>
        <w:t>,</w:t>
      </w:r>
      <w:r w:rsidR="001C1ED9" w:rsidRPr="004A22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D114B2" w14:textId="24B2D8AC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1.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(1), lit. (d) </w:t>
      </w:r>
      <w:r w:rsidR="005410C2" w:rsidRPr="004A226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20A4001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„(d)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cantitatea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dețin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calitățile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durabilitate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potențial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funcționalitate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compatibilitate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care sunt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același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aștepta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rezonabil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natura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ținând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făcută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vânzător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amonte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lanțului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tranzacții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ales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anunțuri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publicitare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etichetă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.”</w:t>
      </w:r>
    </w:p>
    <w:p w14:paraId="05787F74" w14:textId="46A7FB30" w:rsidR="00404E19" w:rsidRPr="004A226E" w:rsidRDefault="00404E1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2.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11</w:t>
      </w:r>
      <w:r w:rsidR="005410C2"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alineatul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(8) </w:t>
      </w:r>
      <w:r w:rsidRPr="004A226E">
        <w:rPr>
          <w:rFonts w:ascii="Times New Roman" w:hAnsi="Times New Roman" w:cs="Times New Roman"/>
          <w:sz w:val="24"/>
          <w:szCs w:val="24"/>
        </w:rPr>
        <w:t xml:space="preserve">se introduce un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alineat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(9)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:</w:t>
      </w:r>
    </w:p>
    <w:p w14:paraId="7ABE3B3C" w14:textId="10CA294B" w:rsidR="00404E19" w:rsidRPr="004A226E" w:rsidRDefault="005C7063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404E19" w:rsidRPr="004A226E">
        <w:rPr>
          <w:rFonts w:ascii="Times New Roman" w:hAnsi="Times New Roman" w:cs="Times New Roman"/>
          <w:sz w:val="24"/>
          <w:szCs w:val="24"/>
        </w:rPr>
        <w:t xml:space="preserve">(9)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furnizeze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corectivă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gramStart"/>
      <w:r w:rsidR="00404E19" w:rsidRPr="004A226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vânzătorul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informează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consumatorul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urmă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alege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înlocuire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eventuala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prelungire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contractuală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la art. 12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>. (6).”</w:t>
      </w:r>
    </w:p>
    <w:p w14:paraId="2E4615F2" w14:textId="5750CCE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3.La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(6) </w:t>
      </w:r>
      <w:r w:rsidR="005410C2" w:rsidRPr="004A226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>:</w:t>
      </w:r>
    </w:p>
    <w:p w14:paraId="51C4A580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226E">
        <w:rPr>
          <w:rFonts w:ascii="Times New Roman" w:hAnsi="Times New Roman" w:cs="Times New Roman"/>
          <w:sz w:val="24"/>
          <w:szCs w:val="24"/>
        </w:rPr>
        <w:t>„(</w:t>
      </w:r>
      <w:proofErr w:type="gramEnd"/>
      <w:r w:rsidRPr="004A226E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art. 11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(2),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are loc ca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corectivă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gramStart"/>
      <w:r w:rsidRPr="004A226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 9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prelungesc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singură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12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.”</w:t>
      </w:r>
    </w:p>
    <w:p w14:paraId="6CD875AC" w14:textId="47BCFDEE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4.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12</w:t>
      </w:r>
      <w:r w:rsidR="005410C2"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alineatul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(7)</w:t>
      </w:r>
      <w:r w:rsidRPr="004A22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introduc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alineate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(8)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(9)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:</w:t>
      </w:r>
    </w:p>
    <w:p w14:paraId="4BFFD6A2" w14:textId="7B8B5B8B" w:rsidR="001C1ED9" w:rsidRPr="004A226E" w:rsidRDefault="005C7063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“</w:t>
      </w:r>
      <w:r w:rsidR="001C1ED9" w:rsidRPr="004A226E">
        <w:rPr>
          <w:rFonts w:ascii="Times New Roman" w:hAnsi="Times New Roman" w:cs="Times New Roman"/>
          <w:sz w:val="24"/>
          <w:szCs w:val="24"/>
        </w:rPr>
        <w:t xml:space="preserve">(8)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reparării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particularitățile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categoriei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special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nevoia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permanent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respective,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vânzătorul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furniza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un bun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înlocuire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un bun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recondiționat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împrumut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>.</w:t>
      </w:r>
    </w:p>
    <w:p w14:paraId="2F3B9541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(9)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explicită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vânzătorul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furniza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un bun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recondiționat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a-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îndeplini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înlocuire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.”</w:t>
      </w:r>
    </w:p>
    <w:p w14:paraId="039B0122" w14:textId="77777777" w:rsidR="00144792" w:rsidRPr="004A226E" w:rsidRDefault="00144792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54E5C8" w14:textId="65648364" w:rsidR="001C1ED9" w:rsidRPr="004A226E" w:rsidRDefault="00E307D3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b/>
          <w:bCs/>
          <w:sz w:val="24"/>
          <w:szCs w:val="24"/>
        </w:rPr>
        <w:t>Art.14.</w:t>
      </w:r>
      <w:r w:rsidR="005C7063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A97"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32A97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</w:t>
      </w:r>
      <w:r w:rsidR="001C1ED9" w:rsidRPr="004A226E">
        <w:rPr>
          <w:rFonts w:ascii="Times New Roman" w:hAnsi="Times New Roman" w:cs="Times New Roman"/>
          <w:sz w:val="24"/>
          <w:szCs w:val="24"/>
        </w:rPr>
        <w:t>nex</w:t>
      </w:r>
      <w:r w:rsidR="00D32A97" w:rsidRPr="004A226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</w:t>
      </w:r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Leg</w:t>
      </w:r>
      <w:r w:rsidRPr="004A226E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nr. 414/2023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acţiunilor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reprezentare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intereselor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colective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la Lista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domeniile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reglementate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la art. 1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. (4) se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adaugă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67, cu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>:</w:t>
      </w:r>
    </w:p>
    <w:p w14:paraId="7C000FB5" w14:textId="788826D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“67.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nr</w:t>
      </w:r>
      <w:proofErr w:type="gramStart"/>
      <w:r w:rsidRPr="004A226E">
        <w:rPr>
          <w:rFonts w:ascii="Times New Roman" w:hAnsi="Times New Roman" w:cs="Times New Roman"/>
          <w:sz w:val="24"/>
          <w:szCs w:val="24"/>
        </w:rPr>
        <w:t>…</w:t>
      </w:r>
      <w:r w:rsidR="002F385D" w:rsidRPr="004A226E">
        <w:rPr>
          <w:rFonts w:ascii="Times New Roman" w:hAnsi="Times New Roman" w:cs="Times New Roman"/>
          <w:sz w:val="24"/>
          <w:szCs w:val="24"/>
        </w:rPr>
        <w:t>.</w:t>
      </w:r>
      <w:r w:rsidRPr="004A22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226E">
        <w:rPr>
          <w:rFonts w:ascii="Times New Roman" w:hAnsi="Times New Roman" w:cs="Times New Roman"/>
          <w:sz w:val="24"/>
          <w:szCs w:val="24"/>
        </w:rPr>
        <w:t xml:space="preserve">/2025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protecției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”</w:t>
      </w:r>
    </w:p>
    <w:p w14:paraId="1747896D" w14:textId="77777777" w:rsidR="00144792" w:rsidRPr="004A226E" w:rsidRDefault="00144792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ECD6C" w14:textId="7BE0AC5A" w:rsidR="001C1ED9" w:rsidRPr="004A226E" w:rsidRDefault="00E307D3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b/>
          <w:bCs/>
          <w:sz w:val="24"/>
          <w:szCs w:val="24"/>
        </w:rPr>
        <w:t>Art.15.</w:t>
      </w:r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A97"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32A97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anex</w:t>
      </w:r>
      <w:r w:rsidR="00D32A97" w:rsidRPr="004A226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</w:t>
      </w:r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Hotărâr</w:t>
      </w:r>
      <w:r w:rsidRPr="004A226E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nr. 444/2020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instituţional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art. 5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. (1) din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(UE) 2017/2.394 al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din 12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cooperarea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însărcinate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(CE) nr. 2.006/2004 cu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desemnate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(UE) 2017/2.394 al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din 12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cooperarea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însărcinate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(CE) nr. 2.006/2004, se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adaugă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29, cu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>:</w:t>
      </w:r>
    </w:p>
    <w:p w14:paraId="08BEC4F3" w14:textId="77777777" w:rsidR="00404E1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“</w:t>
      </w:r>
    </w:p>
    <w:tbl>
      <w:tblPr>
        <w:tblW w:w="773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8"/>
        <w:gridCol w:w="2700"/>
        <w:gridCol w:w="1420"/>
        <w:gridCol w:w="1534"/>
      </w:tblGrid>
      <w:tr w:rsidR="004A226E" w:rsidRPr="004A226E" w14:paraId="5033A93D" w14:textId="77777777" w:rsidTr="00404E19">
        <w:trPr>
          <w:trHeight w:val="2292"/>
          <w:jc w:val="center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650C8" w14:textId="77777777" w:rsidR="00404E19" w:rsidRPr="004A226E" w:rsidRDefault="00404E19" w:rsidP="007A2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29.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5CC78" w14:textId="77777777" w:rsidR="00404E19" w:rsidRPr="004A226E" w:rsidRDefault="00404E19" w:rsidP="007A2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Directiva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(UE) 2024/1799 a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Parlamentului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European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și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a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Consiliului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din 13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iunie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2024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privind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normele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comune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promovare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a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reparării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bunurilor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și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modificare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a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Regulamentului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(UE) 2017/2394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și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a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Directivelor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(UE) 2019/771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și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(UE) 2020/1828 (JO L, 2024/1799, 10.7.2024, </w:t>
            </w: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lastRenderedPageBreak/>
              <w:t>ELI: http://data.europa.eu/eli/dir/2024/1799/oj).”</w:t>
            </w:r>
          </w:p>
          <w:p w14:paraId="11A1D9D5" w14:textId="77777777" w:rsidR="00404E19" w:rsidRPr="004A226E" w:rsidRDefault="00404E19" w:rsidP="007A2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2E89BD" w14:textId="77777777" w:rsidR="00404E19" w:rsidRPr="004A226E" w:rsidRDefault="00404E19" w:rsidP="007A2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Legea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</w:t>
            </w:r>
            <w:proofErr w:type="gram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…./</w:t>
            </w:r>
            <w:proofErr w:type="gram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2025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normele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comune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promovare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reparării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bunurilor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modificare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unor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normative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domeniul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protecției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consumatorilor</w:t>
            </w:r>
            <w:proofErr w:type="spellEnd"/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51216" w14:textId="77777777" w:rsidR="00404E19" w:rsidRPr="004A226E" w:rsidRDefault="00404E19" w:rsidP="007A2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lastRenderedPageBreak/>
              <w:t>Autoritatea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Naţională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pentru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Protecţia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Consumatorilor</w:t>
            </w:r>
            <w:proofErr w:type="spellEnd"/>
          </w:p>
        </w:tc>
      </w:tr>
    </w:tbl>
    <w:p w14:paraId="7914D4D1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“</w:t>
      </w:r>
    </w:p>
    <w:p w14:paraId="46F12516" w14:textId="77777777" w:rsidR="00144792" w:rsidRPr="004A226E" w:rsidRDefault="00144792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4385A8" w14:textId="0111F241" w:rsidR="00144792" w:rsidRPr="004A226E" w:rsidRDefault="00144792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CAPITILUL VII</w:t>
      </w:r>
    </w:p>
    <w:p w14:paraId="0350CC67" w14:textId="77777777" w:rsidR="001C1ED9" w:rsidRPr="004A226E" w:rsidRDefault="001C1ED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tranzitorii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finale</w:t>
      </w:r>
    </w:p>
    <w:p w14:paraId="4DBE3B26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EFEF56" w14:textId="458E9C3E" w:rsidR="001C1ED9" w:rsidRPr="004A226E" w:rsidRDefault="00144792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b/>
          <w:bCs/>
          <w:sz w:val="24"/>
          <w:szCs w:val="24"/>
        </w:rPr>
        <w:t>Art.16.</w:t>
      </w:r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r w:rsidR="001C1ED9" w:rsidRPr="004A226E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Articol</w:t>
      </w:r>
      <w:r w:rsidR="005622BB" w:rsidRPr="004A226E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2F385D" w:rsidRPr="004A226E">
        <w:rPr>
          <w:rFonts w:ascii="Times New Roman" w:hAnsi="Times New Roman" w:cs="Times New Roman"/>
          <w:sz w:val="24"/>
          <w:szCs w:val="24"/>
        </w:rPr>
        <w:t xml:space="preserve"> 13</w:t>
      </w:r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încheiate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31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5E1AB6A3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intră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data de 31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27C154D5" w14:textId="77777777" w:rsidR="009A4F98" w:rsidRPr="004A226E" w:rsidRDefault="009A4F98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DD77F0" w14:textId="7CAD8481" w:rsidR="001C1ED9" w:rsidRPr="004A226E" w:rsidRDefault="001C1ED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***</w:t>
      </w:r>
    </w:p>
    <w:p w14:paraId="6FB6A763" w14:textId="2AE2509C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transpune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2024/1799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26E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proofErr w:type="gramEnd"/>
      <w:r w:rsidRPr="004A226E">
        <w:rPr>
          <w:rFonts w:ascii="Times New Roman" w:hAnsi="Times New Roman" w:cs="Times New Roman"/>
          <w:sz w:val="24"/>
          <w:szCs w:val="24"/>
        </w:rPr>
        <w:t xml:space="preserve"> din 13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2017/2394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2019/771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2020/1828.     </w:t>
      </w:r>
    </w:p>
    <w:p w14:paraId="4D406DAF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10DBFD" w14:textId="77777777" w:rsidR="00144792" w:rsidRPr="004A226E" w:rsidRDefault="00144792" w:rsidP="007A2519">
      <w:pPr>
        <w:shd w:val="clear" w:color="auto" w:fill="FFFFFF"/>
        <w:spacing w:before="240" w:after="0" w:line="312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04BD9D" w14:textId="77777777" w:rsidR="00144792" w:rsidRPr="004A226E" w:rsidRDefault="00144792" w:rsidP="007A2519">
      <w:pPr>
        <w:shd w:val="clear" w:color="auto" w:fill="FFFFFF"/>
        <w:spacing w:before="240" w:after="0" w:line="312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CED8430" w14:textId="49D4426A" w:rsidR="00404E19" w:rsidRPr="004A226E" w:rsidRDefault="00404E19" w:rsidP="007A2519">
      <w:pPr>
        <w:shd w:val="clear" w:color="auto" w:fill="FFFFFF"/>
        <w:spacing w:before="240" w:after="0" w:line="312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ANEXA I</w:t>
      </w:r>
    </w:p>
    <w:p w14:paraId="1EF50EDD" w14:textId="77777777" w:rsidR="00404E19" w:rsidRPr="004A226E" w:rsidRDefault="00404E19" w:rsidP="007A2519">
      <w:pPr>
        <w:shd w:val="clear" w:color="auto" w:fill="FFFFFF"/>
        <w:spacing w:before="240" w:after="0" w:line="312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FORMULAR EUROPEAN DE INFORMAȚII PRIVIND REPARAREA</w:t>
      </w:r>
    </w:p>
    <w:p w14:paraId="3A47FD91" w14:textId="77777777" w:rsidR="00404E19" w:rsidRPr="004A226E" w:rsidRDefault="00404E19" w:rsidP="007A2519">
      <w:pPr>
        <w:shd w:val="clear" w:color="auto" w:fill="FFFFFF"/>
        <w:spacing w:before="240" w:after="0" w:line="312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Partea</w:t>
      </w:r>
      <w:proofErr w:type="spellEnd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</w:t>
      </w:r>
    </w:p>
    <w:p w14:paraId="76D76FE0" w14:textId="77777777" w:rsidR="00404E19" w:rsidRPr="004A226E" w:rsidRDefault="00404E19" w:rsidP="007A2519">
      <w:pPr>
        <w:shd w:val="clear" w:color="auto" w:fill="FFFFFF"/>
        <w:spacing w:before="240" w:after="0" w:line="312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Identitatea</w:t>
      </w:r>
      <w:proofErr w:type="spellEnd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și</w:t>
      </w:r>
      <w:proofErr w:type="spellEnd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datele</w:t>
      </w:r>
      <w:proofErr w:type="spellEnd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contact ale </w:t>
      </w: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reparatorului</w:t>
      </w:r>
      <w:proofErr w:type="spellEnd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care </w:t>
      </w: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prestează</w:t>
      </w:r>
      <w:proofErr w:type="spellEnd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serviciul</w:t>
      </w:r>
      <w:proofErr w:type="spellEnd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</w:t>
      </w: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reparare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8"/>
        <w:gridCol w:w="2185"/>
      </w:tblGrid>
      <w:tr w:rsidR="004A226E" w:rsidRPr="004A226E" w14:paraId="4DFCCA46" w14:textId="77777777" w:rsidTr="00FA58A7"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EBDA2A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Reparator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1D456B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[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Identitate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]</w:t>
            </w:r>
          </w:p>
        </w:tc>
      </w:tr>
      <w:tr w:rsidR="004A226E" w:rsidRPr="004A226E" w14:paraId="41ACEE06" w14:textId="77777777" w:rsidTr="00FA58A7"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E8C64E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Adresă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C873B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[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Adresa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geografică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folosită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consumator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]</w:t>
            </w:r>
          </w:p>
        </w:tc>
      </w:tr>
      <w:tr w:rsidR="004A226E" w:rsidRPr="004A226E" w14:paraId="038C0980" w14:textId="77777777" w:rsidTr="00FA58A7"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34454E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Număr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telefon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53951B" w14:textId="77777777" w:rsidR="00404E19" w:rsidRPr="004A226E" w:rsidRDefault="00404E19" w:rsidP="007A2519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</w:tr>
      <w:tr w:rsidR="004A226E" w:rsidRPr="004A226E" w14:paraId="0D40F48D" w14:textId="77777777" w:rsidTr="00FA58A7"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551B10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Adresă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e-mail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FC0B0F" w14:textId="77777777" w:rsidR="00404E19" w:rsidRPr="004A226E" w:rsidRDefault="00404E19" w:rsidP="007A2519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</w:tr>
      <w:tr w:rsidR="004A226E" w:rsidRPr="004A226E" w14:paraId="4B391453" w14:textId="77777777" w:rsidTr="00FA58A7"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F27E3F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cazul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care sunt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furnizate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reparator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mijloace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comunicare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online, care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permit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consumatorului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contacteze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reparator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comunice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rapid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eficient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acesta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E1F321" w14:textId="77777777" w:rsidR="00404E19" w:rsidRPr="004A226E" w:rsidRDefault="00404E19" w:rsidP="007A2519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</w:tr>
    </w:tbl>
    <w:p w14:paraId="67CD9E19" w14:textId="77777777" w:rsidR="00404E19" w:rsidRPr="004A226E" w:rsidRDefault="00404E19" w:rsidP="007A2519">
      <w:pPr>
        <w:shd w:val="clear" w:color="auto" w:fill="FFFFFF"/>
        <w:spacing w:before="240" w:after="0" w:line="312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371F24" w14:textId="77777777" w:rsidR="00404E19" w:rsidRPr="004A226E" w:rsidRDefault="00404E19" w:rsidP="007A2519">
      <w:pPr>
        <w:shd w:val="clear" w:color="auto" w:fill="FFFFFF"/>
        <w:spacing w:before="240" w:after="0" w:line="312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Partea</w:t>
      </w:r>
      <w:proofErr w:type="spellEnd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II</w:t>
      </w:r>
    </w:p>
    <w:p w14:paraId="1BB27DCC" w14:textId="77777777" w:rsidR="00404E19" w:rsidRPr="004A226E" w:rsidRDefault="00404E19" w:rsidP="007A2519">
      <w:pPr>
        <w:shd w:val="clear" w:color="auto" w:fill="FFFFFF"/>
        <w:spacing w:before="240" w:after="0" w:line="312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Informații</w:t>
      </w:r>
      <w:proofErr w:type="spellEnd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privind</w:t>
      </w:r>
      <w:proofErr w:type="spellEnd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serviciul</w:t>
      </w:r>
      <w:proofErr w:type="spellEnd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</w:t>
      </w: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reparare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7"/>
        <w:gridCol w:w="5306"/>
      </w:tblGrid>
      <w:tr w:rsidR="004A226E" w:rsidRPr="004A226E" w14:paraId="3975220A" w14:textId="77777777" w:rsidTr="00FA58A7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90CD28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care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urmează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fie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reparat</w:t>
            </w:r>
            <w:proofErr w:type="spellEnd"/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1B4D66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[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Identificarea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bunului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]</w:t>
            </w:r>
          </w:p>
        </w:tc>
      </w:tr>
      <w:tr w:rsidR="004A226E" w:rsidRPr="004A226E" w14:paraId="3B725FB3" w14:textId="77777777" w:rsidTr="00FA58A7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A7A742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Natura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defectului</w:t>
            </w:r>
            <w:proofErr w:type="spellEnd"/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C86FB7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[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Descrierea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defectului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]</w:t>
            </w:r>
          </w:p>
        </w:tc>
      </w:tr>
      <w:tr w:rsidR="004A226E" w:rsidRPr="004A226E" w14:paraId="558B5E46" w14:textId="77777777" w:rsidTr="00FA58A7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CE33EA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Tipul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reparație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sugerat</w:t>
            </w:r>
            <w:proofErr w:type="spellEnd"/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AA6256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[Ce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fel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măsuri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vor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fi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luate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pentru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repararea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defectului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]</w:t>
            </w:r>
          </w:p>
        </w:tc>
      </w:tr>
      <w:tr w:rsidR="004A226E" w:rsidRPr="004A226E" w14:paraId="5CDB6A79" w14:textId="77777777" w:rsidTr="00FA58A7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AC85E2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Prețul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reparației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dacă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acesta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poate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fi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calculat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metoda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calcul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aplicabilă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prețul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maxim al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reparației</w:t>
            </w:r>
            <w:proofErr w:type="spellEnd"/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9922DE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[Suma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totală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dacă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posibil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metoda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calcul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plafonul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pentru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serviciul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monedă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națională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]</w:t>
            </w:r>
          </w:p>
        </w:tc>
      </w:tr>
      <w:tr w:rsidR="004A226E" w:rsidRPr="004A226E" w14:paraId="5EE0A81F" w14:textId="77777777" w:rsidTr="00FA58A7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909D44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Timpul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pentru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finalizarea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reparației</w:t>
            </w:r>
            <w:proofErr w:type="spellEnd"/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EE1678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[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Termenul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care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reparatorul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angajează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efectueze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serviciul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zile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]</w:t>
            </w:r>
          </w:p>
        </w:tc>
      </w:tr>
      <w:tr w:rsidR="004A226E" w:rsidRPr="004A226E" w14:paraId="5BEFFFA5" w14:textId="77777777" w:rsidTr="00FA58A7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EA5BE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Disponibilitatea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unor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bunuri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înlocuire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temporară</w:t>
            </w:r>
            <w:proofErr w:type="spellEnd"/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496D39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[Un bun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înlocuire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temporară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înseamnă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consumatorul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primi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un bun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echivalent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pentru a fi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utilizat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durata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reparației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reparatorul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trebuie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indice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„Da”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„Nu”]</w:t>
            </w:r>
          </w:p>
        </w:tc>
      </w:tr>
      <w:tr w:rsidR="004A226E" w:rsidRPr="004A226E" w14:paraId="06AF5504" w14:textId="77777777" w:rsidTr="00FA58A7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2F31EA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Dacă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s-a ales „Da”, a se indica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costurile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corespunzătoare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dacă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cazul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9A90BC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[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EUR/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moneda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națională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]</w:t>
            </w:r>
          </w:p>
        </w:tc>
      </w:tr>
      <w:tr w:rsidR="004A226E" w:rsidRPr="004A226E" w14:paraId="64458F3E" w14:textId="77777777" w:rsidTr="00FA58A7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5D3054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Locul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predare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 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bunurilor</w:t>
            </w:r>
            <w:proofErr w:type="spellEnd"/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13D100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[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Locul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care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consumatorul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predă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bunurile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vederea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reparării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]</w:t>
            </w:r>
          </w:p>
        </w:tc>
      </w:tr>
      <w:tr w:rsidR="004A226E" w:rsidRPr="004A226E" w14:paraId="36E69F59" w14:textId="77777777" w:rsidTr="00FA58A7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9517BC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Dacă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cazul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disponibilitatea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serviciilor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auxiliare</w:t>
            </w:r>
            <w:proofErr w:type="spellEnd"/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BC7BD1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[A se indica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dacă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măsură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oferă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servicii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auxiliare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cum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fi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demontarea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instalarea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transportul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Niciunul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”,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dacă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 se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oferă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niciun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serviciu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auxiliar pentru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reparația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cauză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]</w:t>
            </w:r>
          </w:p>
        </w:tc>
      </w:tr>
      <w:tr w:rsidR="004A226E" w:rsidRPr="004A226E" w14:paraId="0F32A8EF" w14:textId="77777777" w:rsidTr="00FA58A7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7BE96F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Dacă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s-a ales „Da”, a se indica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costurile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corespunzătoare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dacă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cazul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B71878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[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monedă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națională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pentru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fiecare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serviciu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oferit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]</w:t>
            </w:r>
          </w:p>
        </w:tc>
      </w:tr>
      <w:tr w:rsidR="004A226E" w:rsidRPr="004A226E" w14:paraId="218CB130" w14:textId="77777777" w:rsidTr="00FA58A7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879D89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Perioada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valabilitate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 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formularului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european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informații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repararea</w:t>
            </w:r>
            <w:proofErr w:type="spellEnd"/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B359E6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[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Perioadă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valabilitate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puțin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30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zile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]</w:t>
            </w:r>
          </w:p>
        </w:tc>
      </w:tr>
      <w:tr w:rsidR="004A226E" w:rsidRPr="004A226E" w14:paraId="1C1780C6" w14:textId="77777777" w:rsidTr="00FA58A7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762FBE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Alte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informații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dacă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cazul</w:t>
            </w:r>
            <w:proofErr w:type="spellEnd"/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12536F" w14:textId="77777777" w:rsidR="00404E19" w:rsidRPr="004A226E" w:rsidRDefault="00404E19" w:rsidP="007A2519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</w:tr>
    </w:tbl>
    <w:p w14:paraId="4CB3EF4A" w14:textId="77777777" w:rsidR="00404E19" w:rsidRPr="004A226E" w:rsidRDefault="00404E19" w:rsidP="007A2519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4A226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Indicațiile dintre parantezele pătrate furnizează explicații pentru reparator și trebuie să fie înlocuite cu informațiile corespunzătoare.</w:t>
      </w:r>
    </w:p>
    <w:p w14:paraId="0D3C8D3A" w14:textId="77777777" w:rsidR="00144792" w:rsidRPr="004A226E" w:rsidRDefault="00144792" w:rsidP="007A2519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6963010A" w14:textId="77777777" w:rsidR="00144792" w:rsidRPr="004A226E" w:rsidRDefault="00144792" w:rsidP="007A2519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292BCD4A" w14:textId="77777777" w:rsidR="00144792" w:rsidRPr="004A226E" w:rsidRDefault="00144792" w:rsidP="007A2519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1C155CF1" w14:textId="77777777" w:rsidR="00144792" w:rsidRPr="004A226E" w:rsidRDefault="00144792" w:rsidP="007A2519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35522FBC" w14:textId="77777777" w:rsidR="00144792" w:rsidRPr="004A226E" w:rsidRDefault="00144792" w:rsidP="007A2519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2A8D2B99" w14:textId="77777777" w:rsidR="00144792" w:rsidRPr="004A226E" w:rsidRDefault="00144792" w:rsidP="007A2519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78A7FC05" w14:textId="200A5F53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836FE9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26E">
        <w:rPr>
          <w:rFonts w:ascii="Times New Roman" w:hAnsi="Times New Roman" w:cs="Times New Roman"/>
          <w:b/>
          <w:bCs/>
          <w:sz w:val="24"/>
          <w:szCs w:val="24"/>
        </w:rPr>
        <w:t>ANEXA II</w:t>
      </w:r>
    </w:p>
    <w:p w14:paraId="7851078C" w14:textId="77777777" w:rsidR="00144792" w:rsidRPr="004A226E" w:rsidRDefault="00144792" w:rsidP="007A25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91084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26E">
        <w:rPr>
          <w:rFonts w:ascii="Times New Roman" w:hAnsi="Times New Roman" w:cs="Times New Roman"/>
          <w:b/>
          <w:bCs/>
          <w:sz w:val="24"/>
          <w:szCs w:val="24"/>
        </w:rPr>
        <w:t>LISTA ACTELOR JURIDICE ALE UNIUNII CARE STABILESC CERINȚE PRIVIND POTENȚIALUL DE REPARARE</w:t>
      </w:r>
    </w:p>
    <w:p w14:paraId="04AC62FA" w14:textId="77777777" w:rsidR="00144792" w:rsidRPr="004A226E" w:rsidRDefault="00144792" w:rsidP="007A25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B6DBF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1.  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mașinile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spălat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rufe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casnic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mașinile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spălat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uscat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rufe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casnic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2019/2023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2019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mașinilor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spălat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rufe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casnic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mașinilor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spălat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uscat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rufe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casnic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(CE) nr. 1275/2008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nr. 1015/2010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(JO L 315, 5.12.2019, p. 285)</w:t>
      </w:r>
    </w:p>
    <w:p w14:paraId="35E633D8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2.  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mașinile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spălat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vase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casnic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2019/2022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2019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mașinilor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spălat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vase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casnic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(CE) nr. 1275/2008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nr. 1016/2010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(JO L 315, 5.12.2019, p. 267).</w:t>
      </w:r>
    </w:p>
    <w:p w14:paraId="5B5FB471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3.  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aparatele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frigorifice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2019/2019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2019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aparatelor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frigorifice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(CE) nr. 643/2009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(JO L 315, 5.12.2019, p. 187).</w:t>
      </w:r>
    </w:p>
    <w:p w14:paraId="019A3E21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4.  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afișajele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2019/2021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2019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afișajelor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(CE) nr. 1275/2008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(CE) nr. 642/2009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(JO L 315, 5.12.2019, p. 241).</w:t>
      </w:r>
    </w:p>
    <w:p w14:paraId="154E1AC2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5.  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echipamentele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sudură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2019/1784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2019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sudură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(JO L 272, 25.10.2019, p. 121).</w:t>
      </w:r>
    </w:p>
    <w:p w14:paraId="706542BE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6.  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aspiratoarele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nr. 666/2013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8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2013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punere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aspiratoare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(JO L 192, 13.7.2013, p. 24).</w:t>
      </w:r>
    </w:p>
    <w:p w14:paraId="77BE5630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7.  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serverele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stocarea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2019/424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15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2019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servere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stocarea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nr. 617/2013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(JO L 74, 18.3.2019, p. 46).</w:t>
      </w:r>
    </w:p>
    <w:p w14:paraId="5BFD6BE4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8.  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telefoanele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mobile,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telefoanele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fir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tabletele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tip „slate”,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2023/1670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16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2023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telefoane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inteligente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telefoane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inteligente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telefoane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fir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tablete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tip „slate”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r w:rsidRPr="004A226E">
        <w:rPr>
          <w:rFonts w:ascii="Times New Roman" w:hAnsi="Times New Roman" w:cs="Times New Roman"/>
          <w:sz w:val="24"/>
          <w:szCs w:val="24"/>
        </w:rPr>
        <w:lastRenderedPageBreak/>
        <w:t xml:space="preserve">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2023/826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(JO L 214, 31.8.2023, p. 47).</w:t>
      </w:r>
    </w:p>
    <w:p w14:paraId="2420FECB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9.  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uscătoarele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rufe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casnic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gramStart"/>
      <w:r w:rsidRPr="004A226E">
        <w:rPr>
          <w:rFonts w:ascii="Times New Roman" w:hAnsi="Times New Roman" w:cs="Times New Roman"/>
          <w:sz w:val="24"/>
          <w:szCs w:val="24"/>
        </w:rPr>
        <w:t xml:space="preserve">tambur,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proofErr w:type="gramEnd"/>
      <w:r w:rsidRPr="004A226E">
        <w:rPr>
          <w:rFonts w:ascii="Times New Roman" w:hAnsi="Times New Roman" w:cs="Times New Roman"/>
          <w:sz w:val="24"/>
          <w:szCs w:val="24"/>
        </w:rPr>
        <w:t xml:space="preserve"> (UE) 2023/2533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17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noiembrie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2023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punere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uscătoarelor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rufe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casnic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tambur,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2023/826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nr. 932/2012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(JO L, 2023/2533, 22.11.2023, ELI: http://data.europa.eu/eli/reg/2023/2533/oj).</w:t>
      </w:r>
    </w:p>
    <w:p w14:paraId="20DB79FB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10.  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conțin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baterii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ușoare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2023/1542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12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bateriile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deșeurile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baterii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2008/98/CE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2019/1020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2006/66/CE (JO L 191, 28.7.2023, p. 1).</w:t>
      </w:r>
    </w:p>
    <w:p w14:paraId="5ECF9E19" w14:textId="77777777" w:rsidR="003B49DE" w:rsidRPr="004A226E" w:rsidRDefault="003B49DE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B49DE" w:rsidRPr="004A226E" w:rsidSect="00C36786"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D3A56" w14:textId="77777777" w:rsidR="006971C7" w:rsidRDefault="006971C7" w:rsidP="001C1ED9">
      <w:pPr>
        <w:spacing w:after="0" w:line="240" w:lineRule="auto"/>
      </w:pPr>
      <w:r>
        <w:separator/>
      </w:r>
    </w:p>
  </w:endnote>
  <w:endnote w:type="continuationSeparator" w:id="0">
    <w:p w14:paraId="6C2A7AFF" w14:textId="77777777" w:rsidR="006971C7" w:rsidRDefault="006971C7" w:rsidP="001C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287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53226" w14:textId="1B3300CF" w:rsidR="001C1ED9" w:rsidRDefault="001C1E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0983E6" w14:textId="77777777" w:rsidR="001C1ED9" w:rsidRDefault="001C1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E5515" w14:textId="77777777" w:rsidR="006971C7" w:rsidRDefault="006971C7" w:rsidP="001C1ED9">
      <w:pPr>
        <w:spacing w:after="0" w:line="240" w:lineRule="auto"/>
      </w:pPr>
      <w:r>
        <w:separator/>
      </w:r>
    </w:p>
  </w:footnote>
  <w:footnote w:type="continuationSeparator" w:id="0">
    <w:p w14:paraId="3FCC9B29" w14:textId="77777777" w:rsidR="006971C7" w:rsidRDefault="006971C7" w:rsidP="001C1E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D9"/>
    <w:rsid w:val="000D6AB3"/>
    <w:rsid w:val="00144792"/>
    <w:rsid w:val="001C1ED9"/>
    <w:rsid w:val="001D0AD2"/>
    <w:rsid w:val="001E6766"/>
    <w:rsid w:val="002A3429"/>
    <w:rsid w:val="002E6FE5"/>
    <w:rsid w:val="002F385D"/>
    <w:rsid w:val="003B49DE"/>
    <w:rsid w:val="00404E19"/>
    <w:rsid w:val="00436216"/>
    <w:rsid w:val="00481AA9"/>
    <w:rsid w:val="004A226E"/>
    <w:rsid w:val="005410C2"/>
    <w:rsid w:val="005622BB"/>
    <w:rsid w:val="005B329B"/>
    <w:rsid w:val="005C7063"/>
    <w:rsid w:val="005E1FB3"/>
    <w:rsid w:val="006971C7"/>
    <w:rsid w:val="00730DA7"/>
    <w:rsid w:val="007A2519"/>
    <w:rsid w:val="007B429F"/>
    <w:rsid w:val="0083017A"/>
    <w:rsid w:val="00940CD3"/>
    <w:rsid w:val="0098312C"/>
    <w:rsid w:val="009A4F98"/>
    <w:rsid w:val="00A72833"/>
    <w:rsid w:val="00A979D2"/>
    <w:rsid w:val="00B616C8"/>
    <w:rsid w:val="00C22075"/>
    <w:rsid w:val="00C32CAC"/>
    <w:rsid w:val="00C36786"/>
    <w:rsid w:val="00C53FF0"/>
    <w:rsid w:val="00D32A97"/>
    <w:rsid w:val="00DC7096"/>
    <w:rsid w:val="00E307D3"/>
    <w:rsid w:val="00FD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D9FE"/>
  <w15:chartTrackingRefBased/>
  <w15:docId w15:val="{590285DD-C9D4-425F-B20B-E43F70C6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ED9"/>
  </w:style>
  <w:style w:type="paragraph" w:styleId="Footer">
    <w:name w:val="footer"/>
    <w:basedOn w:val="Normal"/>
    <w:link w:val="FooterChar"/>
    <w:uiPriority w:val="99"/>
    <w:unhideWhenUsed/>
    <w:rsid w:val="001C1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ED9"/>
  </w:style>
  <w:style w:type="character" w:customStyle="1" w:styleId="l5def1">
    <w:name w:val="l5def1"/>
    <w:basedOn w:val="DefaultParagraphFont"/>
    <w:rsid w:val="00FD02E5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410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39168%200" TargetMode="External"/><Relationship Id="rId3" Type="http://schemas.openxmlformats.org/officeDocument/2006/relationships/settings" Target="settings.xml"/><Relationship Id="rId7" Type="http://schemas.openxmlformats.org/officeDocument/2006/relationships/hyperlink" Target="act:34604%2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E7C81-23BA-466B-AFE1-43A16CC0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4715</Words>
  <Characters>26876</Characters>
  <Application>Microsoft Office Word</Application>
  <DocSecurity>0</DocSecurity>
  <Lines>223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2026-01-12T10:10:00Z</cp:lastPrinted>
  <dcterms:created xsi:type="dcterms:W3CDTF">2026-01-27T12:40:00Z</dcterms:created>
  <dcterms:modified xsi:type="dcterms:W3CDTF">2026-01-27T12:40:00Z</dcterms:modified>
</cp:coreProperties>
</file>