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80A5" w14:textId="77777777" w:rsidR="009A724C" w:rsidRDefault="009A724C" w:rsidP="009A7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Ordonan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ță de urgență</w:t>
      </w:r>
    </w:p>
    <w:p w14:paraId="7FE7254F" w14:textId="77777777" w:rsidR="009A724C" w:rsidRDefault="009A724C" w:rsidP="009A72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comune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promovare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reparării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modificare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protecției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consumatorilor</w:t>
      </w:r>
      <w:proofErr w:type="spellEnd"/>
    </w:p>
    <w:p w14:paraId="618F5324" w14:textId="77777777" w:rsidR="009A724C" w:rsidRDefault="009A724C" w:rsidP="009A7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56744" w14:textId="1B2D2733" w:rsidR="009A724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Având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vedere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obligația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statelor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membre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Uniunii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transpunere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Directiva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2024/1799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Parlamentului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European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din 13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2024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normele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comune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promovare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reparării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bunurilor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modificare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2017/2394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Directivelor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2019/771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2020/1828,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publicată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JO L2024/1799</w:t>
      </w:r>
    </w:p>
    <w:p w14:paraId="7D0777B6" w14:textId="77777777" w:rsidR="009A724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</w:p>
    <w:p w14:paraId="2288836B" w14:textId="77777777" w:rsidR="009A724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Luând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considerare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fapul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Directiva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2024/1799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intră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vigoare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la data de 31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iulie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2026</w:t>
      </w:r>
    </w:p>
    <w:p w14:paraId="6A2674EA" w14:textId="77777777" w:rsidR="009A724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</w:p>
    <w:p w14:paraId="60601510" w14:textId="77777777" w:rsidR="009A724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Pentru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evita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aplicarea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Curtea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Justiţie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Uniunii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propunerea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Comisiei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sancţiuni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pecuniare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constituite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sumă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forfetară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penalităţi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titlu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cominatoriu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pentru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neimplementarea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dreptul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intern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Directiva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2024/1799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Parlamentului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European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din 13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2024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normele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comune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promovare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reparării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bunurilor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modificare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2017/2394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Directivelor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2019/771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2020/1828,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publicată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JO L2024/1799</w:t>
      </w:r>
    </w:p>
    <w:p w14:paraId="611501C5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</w:p>
    <w:p w14:paraId="7DF1BF2D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Directiva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 2024/1799 are ca scop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promovarea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reparării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bunurilor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defecte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sau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deteriorate,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beneficiul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consumatorilor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al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mediului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al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pieței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interne 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Uniunii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Europene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(UE).</w:t>
      </w:r>
    </w:p>
    <w:p w14:paraId="3E400EAB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</w:p>
    <w:p w14:paraId="3A7F908F" w14:textId="2E459609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Sunt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stabilite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norme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comune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care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consolidează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dispozițiile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referitoare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la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repararea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bunurilor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cu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scopul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contribui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la buna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funcționare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pieței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interne,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asigurând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același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timp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un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nivel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ridicat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protecție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consumatorilor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mediului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.</w:t>
      </w:r>
    </w:p>
    <w:p w14:paraId="4AD9A101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Proiectul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ordonanță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urgență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se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aplică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reparării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bunurilor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achiziționate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consumatori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cazul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existenței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unui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defect al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bunurilor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care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survine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sau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este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constatat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afara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răspunderii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vânzătorului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prevăzute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la art. 9 din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Ordonanţa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urgenţă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Guvernului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nr. 140/2021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privind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anumite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aspecte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referitoare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la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contractele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vânzare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bunuri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  </w:t>
      </w:r>
    </w:p>
    <w:p w14:paraId="1A028226" w14:textId="45748CA3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Articolele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4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5 din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proiectul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="008569B1"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ordonanță</w:t>
      </w:r>
      <w:proofErr w:type="spellEnd"/>
      <w:r w:rsidR="008569B1"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="008569B1"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urgență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se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aplică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numai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bunurilor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pentru care sunt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prevăzute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cerințe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privind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potențialul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reparare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actele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juridice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ale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Uniunii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enumerate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anexa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II la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prezenta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numai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măsura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care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respectivele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cerințe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sunt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aplicabile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.</w:t>
      </w:r>
    </w:p>
    <w:p w14:paraId="6D47BD06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Proiectul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ordonanță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urgență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nu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aduce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atingere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Legii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nr. 245/2020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privind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efectuarea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unui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test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proporționalitate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anterior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adoptării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unor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noi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reglementări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referitoare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la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profesii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.</w:t>
      </w:r>
    </w:p>
    <w:p w14:paraId="742B8B7C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Ţinând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cont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toate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aceste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aspecte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şi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luând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considerare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beneficiul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public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generat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stabilirea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unui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cadru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legal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natură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protejeze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și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crească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încrederea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consumatorilor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şi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comercianţilor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;</w:t>
      </w:r>
    </w:p>
    <w:p w14:paraId="4592FB13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</w:p>
    <w:p w14:paraId="32B6D874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considerarea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faptului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aceste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elemente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vizează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interesul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public general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şi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constituie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o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situaţie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urgenţă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şi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extraordinară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a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cărei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reglementare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nu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poate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fi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amânată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,</w:t>
      </w:r>
    </w:p>
    <w:p w14:paraId="2B9A97BC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</w:p>
    <w:p w14:paraId="64BBC69C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În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temeiul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art. 115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alin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. (4) din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Constituţia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României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  <w:proofErr w:type="spellStart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>republicată</w:t>
      </w:r>
      <w:proofErr w:type="spellEnd"/>
      <w:r w:rsidRPr="00DC100C"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, </w:t>
      </w:r>
    </w:p>
    <w:p w14:paraId="12BF3B2C" w14:textId="77777777" w:rsidR="009A724C" w:rsidRPr="00DC100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</w:p>
    <w:p w14:paraId="4D4DBB0F" w14:textId="77777777" w:rsidR="009A724C" w:rsidRDefault="009A724C" w:rsidP="009A724C">
      <w:pPr>
        <w:tabs>
          <w:tab w:val="center" w:pos="4320"/>
          <w:tab w:val="left" w:pos="531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Guvernul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României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adoptă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ordonanţă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</w:rPr>
        <w:t>.</w:t>
      </w:r>
    </w:p>
    <w:p w14:paraId="7DB0BC54" w14:textId="08E94959" w:rsidR="00730DA7" w:rsidRPr="004A226E" w:rsidRDefault="00730DA7" w:rsidP="007A2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17F0A" w14:textId="7B031B53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I</w:t>
      </w:r>
    </w:p>
    <w:p w14:paraId="7C03AC97" w14:textId="40E9C5B3" w:rsidR="00730DA7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="00730DA7" w:rsidRPr="004A226E">
        <w:rPr>
          <w:rFonts w:ascii="Times New Roman" w:hAnsi="Times New Roman" w:cs="Times New Roman"/>
          <w:sz w:val="24"/>
          <w:szCs w:val="24"/>
        </w:rPr>
        <w:t>1</w:t>
      </w:r>
    </w:p>
    <w:p w14:paraId="34011424" w14:textId="77777777" w:rsidR="00730DA7" w:rsidRPr="004A226E" w:rsidRDefault="00730DA7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scop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</w:t>
      </w:r>
      <w:proofErr w:type="spellEnd"/>
    </w:p>
    <w:p w14:paraId="0A4F94E8" w14:textId="286E8983" w:rsidR="001C1ED9" w:rsidRPr="004A226E" w:rsidRDefault="001C1ED9" w:rsidP="007A25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A104C65" w14:textId="6140DC14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consolidează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buna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pieței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interne,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asigurând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597F85EC" w14:textId="718D6F61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 w:rsidRP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achiziționate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existenței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defect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survine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răspunderii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9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FD02E5" w:rsidRPr="004A226E">
        <w:rPr>
          <w:rFonts w:ascii="Times New Roman" w:hAnsi="Times New Roman" w:cs="Times New Roman"/>
          <w:sz w:val="24"/>
          <w:szCs w:val="24"/>
        </w:rPr>
        <w:t>.</w:t>
      </w:r>
      <w:r w:rsidRPr="004A22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418368" w14:textId="69F5893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5</w:t>
      </w:r>
      <w:r w:rsidR="001E6766" w:rsidRPr="004A226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E6766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care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1E6766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E6766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62CFC4D6" w14:textId="445E766A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 w:rsidRP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 245/2020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test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proporționalitate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0E299946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404EB0" w14:textId="0D752193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="00E307D3" w:rsidRPr="004A226E">
        <w:rPr>
          <w:rFonts w:ascii="Times New Roman" w:hAnsi="Times New Roman" w:cs="Times New Roman"/>
          <w:sz w:val="24"/>
          <w:szCs w:val="24"/>
        </w:rPr>
        <w:t>2</w:t>
      </w:r>
    </w:p>
    <w:p w14:paraId="70179E03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Definiții</w:t>
      </w:r>
      <w:proofErr w:type="spellEnd"/>
    </w:p>
    <w:p w14:paraId="57BF207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EC0D3" w14:textId="79C2CF41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2522D4AE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pct.1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gazului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4445DEFE" w14:textId="6B144D36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D02E5" w:rsidRPr="004A226E">
        <w:rPr>
          <w:rFonts w:ascii="Times New Roman" w:hAnsi="Times New Roman" w:cs="Times New Roman"/>
          <w:sz w:val="24"/>
          <w:szCs w:val="24"/>
        </w:rPr>
        <w:t>,</w:t>
      </w:r>
      <w:r w:rsidRPr="004A226E">
        <w:rPr>
          <w:rFonts w:ascii="Times New Roman" w:hAnsi="Times New Roman" w:cs="Times New Roman"/>
          <w:sz w:val="24"/>
          <w:szCs w:val="24"/>
        </w:rPr>
        <w:t xml:space="preserve"> care permit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bun,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ușurinței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dezasamblării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</w:p>
    <w:p w14:paraId="3398DAB5" w14:textId="61AC52A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4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23A0F934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45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718500ED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44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1681776A" w14:textId="73B11908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42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3F590102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18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lastRenderedPageBreak/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1975F2B2" w14:textId="6C1A3A9E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20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02078415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industrială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meșteșugărească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independenți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afiliați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3701CED9" w14:textId="4547C333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43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2024/1781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2009/125/CE;</w:t>
      </w:r>
    </w:p>
    <w:p w14:paraId="1EC7E2AC" w14:textId="5E6A030D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17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gazului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7251FCD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- „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definiției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art. 2 pct. 18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489F3132" w14:textId="7777777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325773" w14:textId="5E1C0B3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II</w:t>
      </w:r>
    </w:p>
    <w:p w14:paraId="2D643928" w14:textId="62B36D51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8F185A6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</w:p>
    <w:p w14:paraId="2ED1846F" w14:textId="7777777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5E76CF" w14:textId="69B0890C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="00FD02E5" w:rsidRPr="004A226E">
        <w:rPr>
          <w:rFonts w:ascii="Times New Roman" w:hAnsi="Times New Roman" w:cs="Times New Roman"/>
          <w:sz w:val="24"/>
          <w:szCs w:val="24"/>
        </w:rPr>
        <w:t>,</w:t>
      </w:r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00B70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pus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termen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746E449F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  Prin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diagnosticare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distanță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pentru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estima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409750EA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(4)  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diagnosticare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0807FADA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(5)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6D31B64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a)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046568DD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b)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geografică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Pr="004A226E">
        <w:rPr>
          <w:rFonts w:ascii="Times New Roman" w:hAnsi="Times New Roman" w:cs="Times New Roman"/>
          <w:sz w:val="24"/>
          <w:szCs w:val="24"/>
        </w:rPr>
        <w:lastRenderedPageBreak/>
        <w:t xml:space="preserve">permit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contacteze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mod rapid,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accesibil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2F27D77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2680B83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d)</w:t>
      </w:r>
      <w:r w:rsidRPr="004A226E">
        <w:rPr>
          <w:rFonts w:ascii="Times New Roman" w:hAnsi="Times New Roman" w:cs="Times New Roman"/>
          <w:sz w:val="24"/>
          <w:szCs w:val="24"/>
        </w:rPr>
        <w:tab/>
        <w:t xml:space="preserve">natura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sugerat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1207A8A3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e)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avans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maxim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4ADD28D7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f)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122000A2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g)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</w:p>
    <w:p w14:paraId="4E236CF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h)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401722C2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demontarea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detaliate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7388E6A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j)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07F7BB93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(k)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A7E8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pus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3EC1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(6) </w:t>
      </w:r>
    </w:p>
    <w:p w14:paraId="3674DDF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acceptă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2F19BCD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pus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formular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exact,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6111A167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a)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(a)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normative,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26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lit. j)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 nr. 49/2009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prestatorilor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042C1E05" w14:textId="0B1A5559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b)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lit. (b)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normative,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la art. 26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 nr. 49/2009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prestatorilor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 5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 (1) lit. a)-c)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 365/2002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comerţul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electronic,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884EF4" w14:textId="0F869C80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.(1) lit. (c)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26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lit.i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 26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(3) lit. a) din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nr. 49/2009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prestatorilor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5603BCB4" w14:textId="6435D3EF" w:rsidR="009E5574" w:rsidRPr="00BA7C4A" w:rsidRDefault="009E5574" w:rsidP="009E5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modalitățile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executare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. (1) lit. (d)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la art. 6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. (1) lit. (g) din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nr. 34/2014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profesioniştii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normative, cu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C4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A7C4A">
        <w:rPr>
          <w:rFonts w:ascii="Times New Roman" w:hAnsi="Times New Roman" w:cs="Times New Roman"/>
          <w:sz w:val="24"/>
          <w:szCs w:val="24"/>
        </w:rPr>
        <w:t>.</w:t>
      </w:r>
    </w:p>
    <w:p w14:paraId="51CEF2D9" w14:textId="001061DA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20AD7" w14:textId="77777777" w:rsidR="00C22075" w:rsidRPr="004A226E" w:rsidRDefault="00C22075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CDF25" w14:textId="2D3AC8CE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III</w:t>
      </w:r>
    </w:p>
    <w:p w14:paraId="5086FECB" w14:textId="0231205B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65E98DFB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</w:p>
    <w:p w14:paraId="58215FFD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7FAE56" w14:textId="0995B733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care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FF4BC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Prin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imposibilă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C7B7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subcontracta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a-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 (1).</w:t>
      </w:r>
    </w:p>
    <w:p w14:paraId="1983477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5C59B81C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a)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fie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00612C7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b)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termen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intrat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bun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351A0E7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împrumut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bun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192D7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d)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imposibilă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bun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B9063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EE58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(6)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(5),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are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760E6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(7)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(6).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D4C12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subcontracta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a-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C51071F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pun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descurajează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recurgerea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B8B0CA6" w14:textId="237A434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au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site web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liber,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prețurile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orientative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percepute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obișnuite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FD02E5" w:rsidRPr="004A226E">
        <w:rPr>
          <w:rFonts w:ascii="Times New Roman" w:hAnsi="Times New Roman" w:cs="Times New Roman"/>
          <w:sz w:val="24"/>
          <w:szCs w:val="24"/>
        </w:rPr>
        <w:t>,</w:t>
      </w:r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6D34BD91" w14:textId="317D0C13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clauză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hardware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software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împiedice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fac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lastRenderedPageBreak/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justificat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legitimi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obiectivi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numără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intelectuală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intern.</w:t>
      </w:r>
    </w:p>
    <w:p w14:paraId="1B59650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(12) In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(11),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împiedică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special,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independenți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compatibile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imprimare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3D,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intern, cum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intelectuală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849E9F" w14:textId="2814FD2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.(11)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(12)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FD02E5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D02E5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intern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intelectuală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16C7DD2" w14:textId="45CB6128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(14)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II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anterioară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3A442A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(15)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aleg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6D0389F7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CBC9D" w14:textId="3D99A14F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</w:t>
      </w:r>
      <w:r w:rsidR="00E307D3" w:rsidRPr="004A226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67AC9C2A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</w:p>
    <w:p w14:paraId="50918EFC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26BD8" w14:textId="2701A0DC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importatorul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distribuitorul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lor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4,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lor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-un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accesibil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6BABF36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BDA15" w14:textId="02CD5A4E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547A1020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</w:p>
    <w:p w14:paraId="03BFF64A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E7F463" w14:textId="3E1E1999" w:rsidR="00374773" w:rsidRPr="00672267" w:rsidRDefault="009E5574" w:rsidP="00374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67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374773" w:rsidRPr="00672267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="00374773" w:rsidRPr="00672267">
        <w:rPr>
          <w:rFonts w:ascii="Times New Roman" w:hAnsi="Times New Roman" w:cs="Times New Roman"/>
          <w:sz w:val="24"/>
          <w:szCs w:val="24"/>
        </w:rPr>
        <w:t>.</w:t>
      </w:r>
    </w:p>
    <w:p w14:paraId="30976A0F" w14:textId="68EFFDBC" w:rsidR="00374773" w:rsidRPr="004A226E" w:rsidRDefault="00374773" w:rsidP="00374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67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secțiunii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dezvoltată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Comisia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care 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găsească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cumpărători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inițiative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C9119" w14:textId="77777777" w:rsidR="00374773" w:rsidRPr="004A226E" w:rsidRDefault="00374773" w:rsidP="00374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A22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voluntară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cumpărătorii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inițiativele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1E74925" w14:textId="77777777" w:rsidR="00374773" w:rsidRPr="004A226E" w:rsidRDefault="00374773" w:rsidP="00374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22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economici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relevanți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7B27881E" w14:textId="10EDDAD9" w:rsidR="00E307D3" w:rsidRPr="004A226E" w:rsidRDefault="00E307D3" w:rsidP="00374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E78B8" w14:textId="6520BD18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IV</w:t>
      </w:r>
    </w:p>
    <w:p w14:paraId="6B087CA2" w14:textId="7BC86F1E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3FA23801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</w:p>
    <w:p w14:paraId="2B98DC55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D1A16" w14:textId="6323801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CAC"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C32CAC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CAC"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C32CAC"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C32CAC"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C32CAC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CAC"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="00C32CAC"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3D35477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2026,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Comisia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 (1).</w:t>
      </w:r>
    </w:p>
    <w:p w14:paraId="787350F9" w14:textId="47CE2C38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(</w:t>
      </w:r>
      <w:r w:rsidR="00C22075" w:rsidRPr="004A226E">
        <w:rPr>
          <w:rFonts w:ascii="Times New Roman" w:hAnsi="Times New Roman" w:cs="Times New Roman"/>
          <w:sz w:val="24"/>
          <w:szCs w:val="24"/>
        </w:rPr>
        <w:t>3</w:t>
      </w:r>
      <w:r w:rsidRPr="004A22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06701FD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a)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cumpărătorilor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inițiativelor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7113019B" w14:textId="1D9B124A" w:rsidR="00C4502F" w:rsidRPr="00672267" w:rsidRDefault="00C4502F" w:rsidP="00C45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b)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Pr="0067226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secțiunii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>.</w:t>
      </w:r>
    </w:p>
    <w:p w14:paraId="01318203" w14:textId="77777777" w:rsidR="00C4502F" w:rsidRPr="004A226E" w:rsidRDefault="00C4502F" w:rsidP="00C4502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CC032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DD8DB" w14:textId="7C6007DB" w:rsidR="00E307D3" w:rsidRPr="004A226E" w:rsidRDefault="00144792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</w:t>
      </w:r>
      <w:r w:rsidR="007A2519" w:rsidRPr="004A226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3B1532AF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normelor</w:t>
      </w:r>
      <w:proofErr w:type="spellEnd"/>
    </w:p>
    <w:p w14:paraId="675AC9F4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7AB51" w14:textId="0604C955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control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C6CE1" w14:textId="7777777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165B17" w14:textId="44DF959F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</w:t>
      </w:r>
      <w:r w:rsidR="00E307D3" w:rsidRPr="004A226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7EB13654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</w:p>
    <w:p w14:paraId="55BFDE3F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56FC3" w14:textId="7DFB590A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 w:rsidRP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site-urile web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conectate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portalul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2018/1724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portal digital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(gateway) pentru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1024/2012</w:t>
      </w:r>
      <w:r w:rsidR="00E307D3" w:rsidRPr="004A226E">
        <w:rPr>
          <w:rFonts w:ascii="Times New Roman" w:hAnsi="Times New Roman" w:cs="Times New Roman"/>
          <w:sz w:val="24"/>
          <w:szCs w:val="24"/>
        </w:rPr>
        <w:t>.</w:t>
      </w:r>
    </w:p>
    <w:p w14:paraId="7A73AE20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ECF13F" w14:textId="5C671A95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7AEFEC7A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promovează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</w:p>
    <w:p w14:paraId="2905845D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1C49" w14:textId="72AA1442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diseminarea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site‑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ghiduri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emisiuni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radio/TV,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campanii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;</w:t>
      </w:r>
    </w:p>
    <w:p w14:paraId="5D3AB9C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31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2029,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notifică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(1). </w:t>
      </w:r>
    </w:p>
    <w:p w14:paraId="4AA8B16F" w14:textId="77777777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8BA446" w14:textId="5A28D9E0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7A29C68D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obligatoriu</w:t>
      </w:r>
      <w:proofErr w:type="spellEnd"/>
    </w:p>
    <w:p w14:paraId="5C7EB6A7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8EAF6" w14:textId="76285403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(1)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 w:rsidRP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detrimentul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exclude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derogă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5D4D0966" w14:textId="3858043E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 w:rsidRP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depășesc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5FC726E2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5FF158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712EA1" w14:textId="237DA9DD" w:rsidR="007A2519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CAPITOLUL V</w:t>
      </w:r>
    </w:p>
    <w:p w14:paraId="40557592" w14:textId="71E4B142" w:rsidR="00E307D3" w:rsidRPr="004A226E" w:rsidRDefault="007A251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="00E307D3" w:rsidRPr="004A226E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298C2E78" w14:textId="77777777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Sancțiuni</w:t>
      </w:r>
      <w:proofErr w:type="spellEnd"/>
    </w:p>
    <w:p w14:paraId="13EF738E" w14:textId="77777777" w:rsidR="00E307D3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2AF978" w14:textId="77777777" w:rsidR="00C4502F" w:rsidRPr="004A226E" w:rsidRDefault="001C1ED9" w:rsidP="00C45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(</w:t>
      </w:r>
      <w:r w:rsidR="00C4502F" w:rsidRPr="004A226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C4502F" w:rsidRPr="004A226E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C4502F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02F" w:rsidRPr="004A226E">
        <w:rPr>
          <w:rFonts w:ascii="Times New Roman" w:hAnsi="Times New Roman" w:cs="Times New Roman"/>
          <w:sz w:val="24"/>
          <w:szCs w:val="24"/>
        </w:rPr>
        <w:t>contravenții</w:t>
      </w:r>
      <w:proofErr w:type="spellEnd"/>
      <w:r w:rsidR="00C4502F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02F" w:rsidRPr="004A22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C4502F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02F" w:rsidRPr="004A226E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="00C4502F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02F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4502F"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4502F" w:rsidRPr="004A226E"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 w:rsidR="00C4502F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02F"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C4502F" w:rsidRPr="004A226E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C4502F" w:rsidRPr="004A226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C4502F" w:rsidRPr="004A226E">
        <w:rPr>
          <w:rFonts w:ascii="Times New Roman" w:hAnsi="Times New Roman" w:cs="Times New Roman"/>
          <w:sz w:val="24"/>
          <w:szCs w:val="24"/>
        </w:rPr>
        <w:t>:</w:t>
      </w:r>
    </w:p>
    <w:p w14:paraId="40B15286" w14:textId="77777777" w:rsidR="00C4502F" w:rsidRPr="00672267" w:rsidRDefault="00C4502F" w:rsidP="00C45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art. 3,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reparatorul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a ales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pună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European de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72267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672267">
        <w:rPr>
          <w:rFonts w:ascii="Times New Roman" w:hAnsi="Times New Roman" w:cs="Times New Roman"/>
          <w:sz w:val="24"/>
          <w:szCs w:val="24"/>
        </w:rPr>
        <w:t xml:space="preserve"> de la 4.000 lei la 40.000 lei;</w:t>
      </w:r>
    </w:p>
    <w:p w14:paraId="401B7111" w14:textId="6DB7C807" w:rsidR="001C1ED9" w:rsidRPr="004A226E" w:rsidRDefault="001C1ED9" w:rsidP="00C45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art. 4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8.000 lei la 80.000 lei</w:t>
      </w:r>
    </w:p>
    <w:p w14:paraId="77CD653A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art. 5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5.000 lei la 50.000 lei;</w:t>
      </w:r>
    </w:p>
    <w:p w14:paraId="1DB149EC" w14:textId="570E6C82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repetată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contravenţiile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contravenţională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la 10.000 lei la 100.000 lei</w:t>
      </w:r>
      <w:r w:rsidR="005410C2" w:rsidRPr="004A226E">
        <w:rPr>
          <w:rFonts w:ascii="Times New Roman" w:hAnsi="Times New Roman" w:cs="Times New Roman"/>
          <w:sz w:val="24"/>
          <w:szCs w:val="24"/>
        </w:rPr>
        <w:t>.</w:t>
      </w:r>
    </w:p>
    <w:p w14:paraId="356DB34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contravențiilor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sancțiunilor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(1)-(2) se fac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împuterniciți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</w:t>
      </w:r>
    </w:p>
    <w:p w14:paraId="56C8A75B" w14:textId="7C02E85C" w:rsidR="005410C2" w:rsidRPr="004A226E" w:rsidRDefault="005410C2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 (4)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Contravenţiilor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prevăzute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prezenta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C38E2" w:rsidRPr="00DC38E2">
        <w:rPr>
          <w:rStyle w:val="l5def1"/>
          <w:rFonts w:ascii="Times New Roman" w:hAnsi="Times New Roman" w:cs="Times New Roman"/>
          <w:color w:val="auto"/>
          <w:sz w:val="24"/>
          <w:szCs w:val="24"/>
        </w:rPr>
        <w:t>ordoananță</w:t>
      </w:r>
      <w:proofErr w:type="spellEnd"/>
      <w:r w:rsidR="00DC38E2" w:rsidRPr="00DC38E2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DC38E2" w:rsidRPr="00DC38E2">
        <w:rPr>
          <w:rStyle w:val="l5def1"/>
          <w:rFonts w:ascii="Times New Roman" w:hAnsi="Times New Roman" w:cs="Times New Roman"/>
          <w:color w:val="auto"/>
          <w:sz w:val="24"/>
          <w:szCs w:val="24"/>
        </w:rPr>
        <w:t>urgență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le sunt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aplicabile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dispoziţiile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Ordonanţei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Guvernului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7" w:history="1">
        <w:r w:rsidRPr="004A22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nr. 2/2001</w:t>
        </w:r>
      </w:hyperlink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regimul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juridic al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contravenţiilor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aprobată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modificări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completări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Legea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8" w:history="1">
        <w:r w:rsidRPr="004A22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nr. 180/2002</w:t>
        </w:r>
      </w:hyperlink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cu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modificările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completările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ulterioare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.</w:t>
      </w:r>
    </w:p>
    <w:p w14:paraId="7520EE21" w14:textId="77777777" w:rsidR="00E307D3" w:rsidRPr="004A226E" w:rsidRDefault="00E307D3" w:rsidP="007A25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0CE99" w14:textId="218E212E" w:rsidR="00E307D3" w:rsidRPr="004A226E" w:rsidRDefault="00E307D3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CAPITOLUL </w:t>
      </w:r>
      <w:r w:rsidR="007A2519" w:rsidRPr="004A226E">
        <w:rPr>
          <w:rFonts w:ascii="Times New Roman" w:hAnsi="Times New Roman" w:cs="Times New Roman"/>
          <w:sz w:val="24"/>
          <w:szCs w:val="24"/>
        </w:rPr>
        <w:t>VI</w:t>
      </w:r>
    </w:p>
    <w:p w14:paraId="0FBD9062" w14:textId="19303DD5" w:rsidR="00730DA7" w:rsidRPr="004A226E" w:rsidRDefault="00E307D3" w:rsidP="007A2519">
      <w:pPr>
        <w:spacing w:after="0"/>
        <w:jc w:val="center"/>
        <w:rPr>
          <w:rStyle w:val="l5def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Dispoziţii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modificarea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unor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>acte</w:t>
      </w:r>
      <w:proofErr w:type="spellEnd"/>
      <w:r w:rsidRPr="004A226E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normative </w:t>
      </w:r>
      <w:r w:rsidRPr="004A226E">
        <w:rPr>
          <w:rFonts w:ascii="Times New Roman" w:hAnsi="Times New Roman" w:cs="Times New Roman"/>
          <w:sz w:val="24"/>
          <w:szCs w:val="24"/>
        </w:rPr>
        <w:br/>
      </w:r>
    </w:p>
    <w:p w14:paraId="53C215F4" w14:textId="03A9381E" w:rsidR="001C1ED9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Art.13</w:t>
      </w:r>
      <w:r w:rsidR="00730DA7" w:rsidRPr="004A22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0DA7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Ordonanţ</w:t>
      </w:r>
      <w:r w:rsidR="00D32A97" w:rsidRPr="004A22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nr. 140/2021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A72833">
        <w:rPr>
          <w:rFonts w:ascii="Times New Roman" w:hAnsi="Times New Roman" w:cs="Times New Roman"/>
          <w:sz w:val="24"/>
          <w:szCs w:val="24"/>
        </w:rPr>
        <w:t>,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D114B2" w14:textId="24B2D8AC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1.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(1), lit. (d) 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0A400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„(d)</w:t>
      </w:r>
      <w:r w:rsidRPr="004A2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calitățile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durabilitate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funcționalitate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compatibilitate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care sunt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aștepta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amonte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lanțului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tranzacții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anunțuri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publicitare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etichetă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.”</w:t>
      </w:r>
    </w:p>
    <w:p w14:paraId="05787F74" w14:textId="46A7FB30" w:rsidR="00404E19" w:rsidRPr="004A226E" w:rsidRDefault="00404E1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2.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11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(8) </w:t>
      </w:r>
      <w:r w:rsidRPr="004A226E">
        <w:rPr>
          <w:rFonts w:ascii="Times New Roman" w:hAnsi="Times New Roman" w:cs="Times New Roman"/>
          <w:sz w:val="24"/>
          <w:szCs w:val="24"/>
        </w:rPr>
        <w:t xml:space="preserve">se introduce 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(9)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7ABE3B3C" w14:textId="10CA294B" w:rsidR="00404E19" w:rsidRPr="004A226E" w:rsidRDefault="005C706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“</w:t>
      </w:r>
      <w:r w:rsidR="00404E19" w:rsidRPr="004A226E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corectivă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pentru 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eventuala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prelungire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 xml:space="preserve"> la art. 12 </w:t>
      </w:r>
      <w:proofErr w:type="spellStart"/>
      <w:r w:rsidR="00404E19"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04E19" w:rsidRPr="004A226E">
        <w:rPr>
          <w:rFonts w:ascii="Times New Roman" w:hAnsi="Times New Roman" w:cs="Times New Roman"/>
          <w:sz w:val="24"/>
          <w:szCs w:val="24"/>
        </w:rPr>
        <w:t>. (6).”</w:t>
      </w:r>
    </w:p>
    <w:p w14:paraId="2E4615F2" w14:textId="5750CCE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3.La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(6) 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>:</w:t>
      </w:r>
    </w:p>
    <w:p w14:paraId="51C4A58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lastRenderedPageBreak/>
        <w:t xml:space="preserve">„(6)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art. 11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(2),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are loc ca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corectivă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art. 9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prelungesc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12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.”</w:t>
      </w:r>
    </w:p>
    <w:p w14:paraId="6CD875AC" w14:textId="47BCFDEE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4.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12</w:t>
      </w:r>
      <w:r w:rsidR="005410C2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C2" w:rsidRPr="004A226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="005410C2" w:rsidRPr="004A226E">
        <w:rPr>
          <w:rFonts w:ascii="Times New Roman" w:hAnsi="Times New Roman" w:cs="Times New Roman"/>
          <w:sz w:val="24"/>
          <w:szCs w:val="24"/>
        </w:rPr>
        <w:t xml:space="preserve"> (7)</w:t>
      </w:r>
      <w:r w:rsidRPr="004A22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introduc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alineate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. (8)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(9) cu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:</w:t>
      </w:r>
    </w:p>
    <w:p w14:paraId="4BFFD6A2" w14:textId="7B8B5B8B" w:rsidR="001C1ED9" w:rsidRPr="004A226E" w:rsidRDefault="005C706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“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particularitățile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categoriei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special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nevoia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permanent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respective,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un bun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un bun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recondiționat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împrumut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>.</w:t>
      </w:r>
    </w:p>
    <w:p w14:paraId="2F3B954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(9) La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explicită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un bun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recondiționat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a-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.”</w:t>
      </w:r>
    </w:p>
    <w:p w14:paraId="039B0122" w14:textId="77777777" w:rsidR="00144792" w:rsidRPr="004A226E" w:rsidRDefault="00144792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4E5C8" w14:textId="65648364" w:rsidR="001C1ED9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Art.14.</w:t>
      </w:r>
      <w:r w:rsidR="005C7063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A97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32A97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</w:t>
      </w:r>
      <w:r w:rsidR="001C1ED9" w:rsidRPr="004A226E">
        <w:rPr>
          <w:rFonts w:ascii="Times New Roman" w:hAnsi="Times New Roman" w:cs="Times New Roman"/>
          <w:sz w:val="24"/>
          <w:szCs w:val="24"/>
        </w:rPr>
        <w:t>nex</w:t>
      </w:r>
      <w:r w:rsidR="00D32A97" w:rsidRPr="004A22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Leg</w:t>
      </w:r>
      <w:r w:rsidRPr="004A226E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nr. 414/2023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la Lista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. (4) se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67,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>:</w:t>
      </w:r>
    </w:p>
    <w:p w14:paraId="7C000FB5" w14:textId="788826D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“67.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nr…</w:t>
      </w:r>
      <w:r w:rsidR="002F385D" w:rsidRPr="004A226E">
        <w:rPr>
          <w:rFonts w:ascii="Times New Roman" w:hAnsi="Times New Roman" w:cs="Times New Roman"/>
          <w:sz w:val="24"/>
          <w:szCs w:val="24"/>
        </w:rPr>
        <w:t>.</w:t>
      </w:r>
      <w:r w:rsidRPr="004A226E">
        <w:rPr>
          <w:rFonts w:ascii="Times New Roman" w:hAnsi="Times New Roman" w:cs="Times New Roman"/>
          <w:sz w:val="24"/>
          <w:szCs w:val="24"/>
        </w:rPr>
        <w:t xml:space="preserve">./2025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>”</w:t>
      </w:r>
    </w:p>
    <w:p w14:paraId="1747896D" w14:textId="77777777" w:rsidR="00144792" w:rsidRPr="004A226E" w:rsidRDefault="00144792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ECD6C" w14:textId="7BE0AC5A" w:rsidR="001C1ED9" w:rsidRPr="004A226E" w:rsidRDefault="00E307D3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Art.15.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A97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32A97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anex</w:t>
      </w:r>
      <w:r w:rsidR="00D32A97" w:rsidRPr="004A22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Hotărâr</w:t>
      </w:r>
      <w:r w:rsidRPr="004A226E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nr. 444/2020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art. 5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. (1) din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(UE) 2017/2.394 al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cooperarea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însărcinate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(CE) nr. 2.006/2004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(UE) 2017/2.394 al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cooperarea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însărcinate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(CE) nr. 2.006/2004, se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29, cu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>:</w:t>
      </w:r>
    </w:p>
    <w:p w14:paraId="08BEC4F3" w14:textId="77777777" w:rsidR="00404E1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W w:w="77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2700"/>
        <w:gridCol w:w="1420"/>
        <w:gridCol w:w="1534"/>
      </w:tblGrid>
      <w:tr w:rsidR="004A226E" w:rsidRPr="004A226E" w14:paraId="5033A93D" w14:textId="77777777" w:rsidTr="00404E19">
        <w:trPr>
          <w:trHeight w:val="2292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650C8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5CC78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Directiva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(UE) 2024/1799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Parlamentului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European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din 13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iunie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2024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privind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normele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comune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promovare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reparării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bunurilor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modificare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Regulamentului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(UE) 2017/2394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Directivelor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(UE) 2019/771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(UE) 2020/1828 (JO L, 2024/1799, 10.7.2024, ELI: http://data.europa.eu/eli/dir/2024/1799/oj).”</w:t>
            </w:r>
          </w:p>
          <w:p w14:paraId="11A1D9D5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E89BD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nr…./2025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normele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promovare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reparării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normative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domeniul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protecției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consumatorilor</w:t>
            </w:r>
            <w:proofErr w:type="spell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51216" w14:textId="77777777" w:rsidR="00404E19" w:rsidRPr="004A226E" w:rsidRDefault="00404E19" w:rsidP="007A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Autoritatea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Naţională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Protecţia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Consumatorilor</w:t>
            </w:r>
            <w:proofErr w:type="spellEnd"/>
          </w:p>
        </w:tc>
      </w:tr>
    </w:tbl>
    <w:p w14:paraId="7914D4D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“</w:t>
      </w:r>
    </w:p>
    <w:p w14:paraId="46F12516" w14:textId="77777777" w:rsidR="00144792" w:rsidRPr="004A226E" w:rsidRDefault="00144792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4385A8" w14:textId="0111F241" w:rsidR="00144792" w:rsidRPr="004A226E" w:rsidRDefault="00144792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lastRenderedPageBreak/>
        <w:t>CAPITILUL VII</w:t>
      </w:r>
    </w:p>
    <w:p w14:paraId="0350CC67" w14:textId="77777777" w:rsidR="001C1ED9" w:rsidRPr="004A226E" w:rsidRDefault="001C1ED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tranzitorii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finale</w:t>
      </w:r>
    </w:p>
    <w:p w14:paraId="4DBE3B26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FEF56" w14:textId="01EAF964" w:rsidR="001C1ED9" w:rsidRPr="004A226E" w:rsidRDefault="00144792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Art.16.</w:t>
      </w:r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Articol</w:t>
      </w:r>
      <w:r w:rsidR="005622BB" w:rsidRPr="004A226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F385D" w:rsidRPr="004A226E">
        <w:rPr>
          <w:rFonts w:ascii="Times New Roman" w:hAnsi="Times New Roman" w:cs="Times New Roman"/>
          <w:sz w:val="24"/>
          <w:szCs w:val="24"/>
        </w:rPr>
        <w:t xml:space="preserve"> 13</w:t>
      </w:r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 w:rsidRP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de 31 </w:t>
      </w:r>
      <w:proofErr w:type="spellStart"/>
      <w:r w:rsidR="001C1ED9"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1C1ED9" w:rsidRPr="004A226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E1AB6A3" w14:textId="22F41CC8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 w:rsidRP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27C154D5" w14:textId="77777777" w:rsidR="009A4F98" w:rsidRPr="004A226E" w:rsidRDefault="009A4F98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DD77F0" w14:textId="7CAD8481" w:rsidR="001C1ED9" w:rsidRPr="004A226E" w:rsidRDefault="001C1ED9" w:rsidP="007A25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>***</w:t>
      </w:r>
    </w:p>
    <w:p w14:paraId="6FB6A763" w14:textId="2430FB0E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ordoananță</w:t>
      </w:r>
      <w:proofErr w:type="spellEnd"/>
      <w:r w:rsidR="00DC38E2" w:rsidRPr="00DC38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C38E2" w:rsidRPr="00DC38E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transpune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2024/1799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reparării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2017/2394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2019/771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2020/1828.     </w:t>
      </w:r>
    </w:p>
    <w:p w14:paraId="4D406DAF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0DBFD" w14:textId="77777777" w:rsidR="00144792" w:rsidRPr="004A226E" w:rsidRDefault="00144792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04BD9D" w14:textId="77777777" w:rsidR="00144792" w:rsidRPr="004A226E" w:rsidRDefault="00144792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ED8430" w14:textId="49D4426A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ANEXA I</w:t>
      </w:r>
    </w:p>
    <w:p w14:paraId="1EF50EDD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 EUROPEAN DE INFORMAȚII PRIVIND REPARAREA</w:t>
      </w:r>
    </w:p>
    <w:p w14:paraId="3A47FD91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Partea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</w:t>
      </w:r>
    </w:p>
    <w:p w14:paraId="76D76FE0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Identitatea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datele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contact ale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reparatorului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care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prestează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serviciul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reparare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2185"/>
      </w:tblGrid>
      <w:tr w:rsidR="004A226E" w:rsidRPr="004A226E" w14:paraId="4DFCCA46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BDA2A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D456B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Identitate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41ACEE06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8C64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Adresă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C873B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geografică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folosită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038C0980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4454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Număr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3951B" w14:textId="77777777" w:rsidR="00404E19" w:rsidRPr="004A226E" w:rsidRDefault="00404E19" w:rsidP="007A251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  <w:tr w:rsidR="004A226E" w:rsidRPr="004A226E" w14:paraId="0D40F48D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51B10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e-mail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C0B0F" w14:textId="77777777" w:rsidR="00404E19" w:rsidRPr="004A226E" w:rsidRDefault="00404E19" w:rsidP="007A251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  <w:tr w:rsidR="004A226E" w:rsidRPr="004A226E" w14:paraId="4B391453" w14:textId="77777777" w:rsidTr="00FA58A7"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27E3F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sunt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furnizate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mijloace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comunicare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online, care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permit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contacteze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comunice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rapid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eficient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acesta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1F321" w14:textId="77777777" w:rsidR="00404E19" w:rsidRPr="004A226E" w:rsidRDefault="00404E19" w:rsidP="007A251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</w:tbl>
    <w:p w14:paraId="67CD9E19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371F24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Partea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II</w:t>
      </w:r>
    </w:p>
    <w:p w14:paraId="1BB27DCC" w14:textId="77777777" w:rsidR="00404E19" w:rsidRPr="004A226E" w:rsidRDefault="00404E19" w:rsidP="007A2519">
      <w:pPr>
        <w:shd w:val="clear" w:color="auto" w:fill="FFFFFF"/>
        <w:spacing w:before="240" w:after="0" w:line="31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Informații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privind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serviciul</w:t>
      </w:r>
      <w:proofErr w:type="spellEnd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4A2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reparare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306"/>
      </w:tblGrid>
      <w:tr w:rsidR="004A226E" w:rsidRPr="004A226E" w14:paraId="3975220A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90CD28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urmează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B4D66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Identificarea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3B725FB3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7A742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Natura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defectului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C86FB7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Descrierea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defectului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558B5E46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E33EA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Tipul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sugerat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A6256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[Ce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fel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măsuri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defectului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5CDB6A79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AC85E2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Prețul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calculat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metoda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calcul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aplicabilă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prețul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maxim al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reparației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922D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[Suma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totală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posibil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metoda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calcul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plafonul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monedă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5EE0A81F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09D44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Timpul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reparației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E1678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Termenul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angajează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efectueze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5BEFFFA5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EA5B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Disponibilitatea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înlocuire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temporară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96D39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[Un bun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înlocuire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temporară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înseamnă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primi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un bun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echivalent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pentru a fi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utilizat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durata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reparației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reparatorul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trebuie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indice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„Da”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„Nu”]</w:t>
            </w:r>
          </w:p>
        </w:tc>
      </w:tr>
      <w:tr w:rsidR="004A226E" w:rsidRPr="004A226E" w14:paraId="06AF5504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F31EA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s-a ales „Da”, a se indica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costurile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corespunzătoare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A90BC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EUR/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moneda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64458F3E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D3054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 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bunurilor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3D100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consumatorul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vederea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reparării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36E69F59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517BC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disponibilitatea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serviciilor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auxiliare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C7BD1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[A se indica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măsură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oferă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auxiliare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cum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fi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demontarea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instalarea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Niciunul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”,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 se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oferă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niciun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auxiliar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reparația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cauză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0F32A8EF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BE96F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s-a ales „Da”, a se indica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costurile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corespunzătoare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71878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monedă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națională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pentru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fiecare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serviciu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oferit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218CB130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79D89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Perioada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valabilitate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 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formularului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european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informații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repararea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359E6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[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Perioadă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valabilitate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cel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puțin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zile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]</w:t>
            </w:r>
          </w:p>
        </w:tc>
      </w:tr>
      <w:tr w:rsidR="004A226E" w:rsidRPr="004A226E" w14:paraId="1C1780C6" w14:textId="77777777" w:rsidTr="00FA58A7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62FBE" w14:textId="77777777" w:rsidR="00404E19" w:rsidRPr="004A226E" w:rsidRDefault="00404E19" w:rsidP="007A2519">
            <w:pPr>
              <w:spacing w:before="6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Alte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informații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dacă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este</w:t>
            </w:r>
            <w:proofErr w:type="spellEnd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2536F" w14:textId="77777777" w:rsidR="00404E19" w:rsidRPr="004A226E" w:rsidRDefault="00404E19" w:rsidP="007A2519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4A2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 </w:t>
            </w:r>
          </w:p>
        </w:tc>
      </w:tr>
    </w:tbl>
    <w:p w14:paraId="4CB3EF4A" w14:textId="77777777" w:rsidR="00404E19" w:rsidRPr="004A226E" w:rsidRDefault="00404E19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4A226E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Indicațiile dintre parantezele pătrate furnizează explicații pentru reparator și trebuie să fie înlocuite cu informațiile corespunzătoare.</w:t>
      </w:r>
    </w:p>
    <w:p w14:paraId="0D3C8D3A" w14:textId="77777777" w:rsidR="00144792" w:rsidRPr="004A226E" w:rsidRDefault="00144792" w:rsidP="007A2519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8A7FC05" w14:textId="200A5F53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36FE9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ANEXA II</w:t>
      </w:r>
    </w:p>
    <w:p w14:paraId="7851078C" w14:textId="77777777" w:rsidR="00144792" w:rsidRPr="004A226E" w:rsidRDefault="00144792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9108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26E">
        <w:rPr>
          <w:rFonts w:ascii="Times New Roman" w:hAnsi="Times New Roman" w:cs="Times New Roman"/>
          <w:b/>
          <w:bCs/>
          <w:sz w:val="24"/>
          <w:szCs w:val="24"/>
        </w:rPr>
        <w:t>LISTA ACTELOR JURIDICE ALE UNIUNII CARE STABILESC CERINȚE PRIVIND POTENȚIALUL DE REPARARE</w:t>
      </w:r>
    </w:p>
    <w:p w14:paraId="04AC62FA" w14:textId="77777777" w:rsidR="00144792" w:rsidRPr="004A226E" w:rsidRDefault="00144792" w:rsidP="007A25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B6DBF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uscat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2019/2023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uscat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1275/2008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1015/2010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315, 5.12.2019, p. 285)</w:t>
      </w:r>
    </w:p>
    <w:p w14:paraId="35E633D8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vase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2019/2022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lastRenderedPageBreak/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mașinilor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vase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1275/2008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1016/2010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315, 5.12.2019, p. 267).</w:t>
      </w:r>
    </w:p>
    <w:p w14:paraId="5B5FB47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aparatele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frigorifice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2019/2019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frigorifice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643/2009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315, 5.12.2019, p. 187).</w:t>
      </w:r>
    </w:p>
    <w:p w14:paraId="019A3E21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afișajele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2019/2021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afișajelor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1275/2008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(CE) nr. 642/2009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315, 5.12.2019, p. 241).</w:t>
      </w:r>
    </w:p>
    <w:p w14:paraId="154E1AC2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5.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sudură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2019/1784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sudură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272, 25.10.2019, p. 121).</w:t>
      </w:r>
    </w:p>
    <w:p w14:paraId="706542BE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6.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aspiratoarele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666/2013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8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2013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aspiratoare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192, 13.7.2013, p. 24).</w:t>
      </w:r>
    </w:p>
    <w:p w14:paraId="77BE5630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7.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serverele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2019/424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15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2019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servere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617/2013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74, 18.3.2019, p. 46).</w:t>
      </w:r>
    </w:p>
    <w:p w14:paraId="5BFD6BE4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8.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mobile,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tabletele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tip „slate”,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2023/1670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16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2023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fir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tablete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tip „slate”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2023/826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 214, 31.8.2023, p. 47).</w:t>
      </w:r>
    </w:p>
    <w:p w14:paraId="2420FEC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9.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uscătoarele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tambur,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2023/2533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17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2023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2009/125/CE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ecologică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uscătoarelor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cu tambur,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2023/826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nr. 932/2012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(JO L, 2023/2533, 22.11.2023, ELI: http://data.europa.eu/eli/reg/2023/2533/oj).</w:t>
      </w:r>
    </w:p>
    <w:p w14:paraId="20DB79FB" w14:textId="77777777" w:rsidR="001C1ED9" w:rsidRPr="004A226E" w:rsidRDefault="001C1ED9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26E">
        <w:rPr>
          <w:rFonts w:ascii="Times New Roman" w:hAnsi="Times New Roman" w:cs="Times New Roman"/>
          <w:sz w:val="24"/>
          <w:szCs w:val="24"/>
        </w:rPr>
        <w:t xml:space="preserve">10.   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conțin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baterii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ușoare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2023/1542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bateriile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deșeurile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baterii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2008/98/CE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(UE) 2019/1020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A226E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4A226E">
        <w:rPr>
          <w:rFonts w:ascii="Times New Roman" w:hAnsi="Times New Roman" w:cs="Times New Roman"/>
          <w:sz w:val="24"/>
          <w:szCs w:val="24"/>
        </w:rPr>
        <w:t xml:space="preserve"> 2006/66/CE (JO L 191, 28.7.2023, p. 1).</w:t>
      </w:r>
    </w:p>
    <w:p w14:paraId="5ECF9E19" w14:textId="77777777" w:rsidR="003B49DE" w:rsidRPr="004A226E" w:rsidRDefault="003B49DE" w:rsidP="007A2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B49DE" w:rsidRPr="004A226E" w:rsidSect="00C3678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4C70" w14:textId="77777777" w:rsidR="00854676" w:rsidRDefault="00854676" w:rsidP="001C1ED9">
      <w:pPr>
        <w:spacing w:after="0" w:line="240" w:lineRule="auto"/>
      </w:pPr>
      <w:r>
        <w:separator/>
      </w:r>
    </w:p>
  </w:endnote>
  <w:endnote w:type="continuationSeparator" w:id="0">
    <w:p w14:paraId="457CF0EC" w14:textId="77777777" w:rsidR="00854676" w:rsidRDefault="00854676" w:rsidP="001C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87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53226" w14:textId="1B3300CF" w:rsidR="001C1ED9" w:rsidRDefault="001C1E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0983E6" w14:textId="77777777" w:rsidR="001C1ED9" w:rsidRDefault="001C1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733C" w14:textId="77777777" w:rsidR="00854676" w:rsidRDefault="00854676" w:rsidP="001C1ED9">
      <w:pPr>
        <w:spacing w:after="0" w:line="240" w:lineRule="auto"/>
      </w:pPr>
      <w:r>
        <w:separator/>
      </w:r>
    </w:p>
  </w:footnote>
  <w:footnote w:type="continuationSeparator" w:id="0">
    <w:p w14:paraId="54CB267F" w14:textId="77777777" w:rsidR="00854676" w:rsidRDefault="00854676" w:rsidP="001C1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D9"/>
    <w:rsid w:val="00035207"/>
    <w:rsid w:val="000D6AB3"/>
    <w:rsid w:val="00144792"/>
    <w:rsid w:val="001C1ED9"/>
    <w:rsid w:val="001D0AD2"/>
    <w:rsid w:val="001E6766"/>
    <w:rsid w:val="002A3429"/>
    <w:rsid w:val="002E6FE5"/>
    <w:rsid w:val="002F385D"/>
    <w:rsid w:val="00374773"/>
    <w:rsid w:val="003B49DE"/>
    <w:rsid w:val="00404E19"/>
    <w:rsid w:val="00436216"/>
    <w:rsid w:val="00481AA9"/>
    <w:rsid w:val="004A226E"/>
    <w:rsid w:val="005410C2"/>
    <w:rsid w:val="005622BB"/>
    <w:rsid w:val="00570130"/>
    <w:rsid w:val="00592D98"/>
    <w:rsid w:val="005B329B"/>
    <w:rsid w:val="005C7063"/>
    <w:rsid w:val="005E1FB3"/>
    <w:rsid w:val="00625455"/>
    <w:rsid w:val="00672267"/>
    <w:rsid w:val="006971C7"/>
    <w:rsid w:val="006E372E"/>
    <w:rsid w:val="00730DA7"/>
    <w:rsid w:val="00796F57"/>
    <w:rsid w:val="007A2519"/>
    <w:rsid w:val="007B429F"/>
    <w:rsid w:val="0083017A"/>
    <w:rsid w:val="00854676"/>
    <w:rsid w:val="008569B1"/>
    <w:rsid w:val="00940CD3"/>
    <w:rsid w:val="0098312C"/>
    <w:rsid w:val="009A4F98"/>
    <w:rsid w:val="009A724C"/>
    <w:rsid w:val="009E5574"/>
    <w:rsid w:val="00A72833"/>
    <w:rsid w:val="00A979D2"/>
    <w:rsid w:val="00B616C8"/>
    <w:rsid w:val="00BA7C4A"/>
    <w:rsid w:val="00BF0A0E"/>
    <w:rsid w:val="00C22075"/>
    <w:rsid w:val="00C32CAC"/>
    <w:rsid w:val="00C36786"/>
    <w:rsid w:val="00C4502F"/>
    <w:rsid w:val="00C53FF0"/>
    <w:rsid w:val="00CC6501"/>
    <w:rsid w:val="00D32A97"/>
    <w:rsid w:val="00DC100C"/>
    <w:rsid w:val="00DC38E2"/>
    <w:rsid w:val="00DC7096"/>
    <w:rsid w:val="00E307D3"/>
    <w:rsid w:val="00EA4050"/>
    <w:rsid w:val="00EF19FF"/>
    <w:rsid w:val="00FC74C7"/>
    <w:rsid w:val="00F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D9FE"/>
  <w15:chartTrackingRefBased/>
  <w15:docId w15:val="{590285DD-C9D4-425F-B20B-E43F70C6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ED9"/>
  </w:style>
  <w:style w:type="paragraph" w:styleId="Footer">
    <w:name w:val="footer"/>
    <w:basedOn w:val="Normal"/>
    <w:link w:val="FooterChar"/>
    <w:uiPriority w:val="99"/>
    <w:unhideWhenUsed/>
    <w:rsid w:val="001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ED9"/>
  </w:style>
  <w:style w:type="character" w:customStyle="1" w:styleId="l5def1">
    <w:name w:val="l5def1"/>
    <w:basedOn w:val="DefaultParagraphFont"/>
    <w:rsid w:val="00FD02E5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41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9168%200" TargetMode="External"/><Relationship Id="rId3" Type="http://schemas.openxmlformats.org/officeDocument/2006/relationships/settings" Target="settings.xml"/><Relationship Id="rId7" Type="http://schemas.openxmlformats.org/officeDocument/2006/relationships/hyperlink" Target="act:34604%2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E7C81-23BA-466B-AFE1-43A16CC0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5216</Words>
  <Characters>29736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2026-01-12T10:10:00Z</cp:lastPrinted>
  <dcterms:created xsi:type="dcterms:W3CDTF">2026-02-26T10:51:00Z</dcterms:created>
  <dcterms:modified xsi:type="dcterms:W3CDTF">2026-02-26T11:27:00Z</dcterms:modified>
</cp:coreProperties>
</file>